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0403" w14:textId="5D81B0B7" w:rsidR="00252DED" w:rsidRPr="00DD1897" w:rsidRDefault="00DD1897" w:rsidP="00DD1897">
      <w:pPr>
        <w:jc w:val="center"/>
        <w:rPr>
          <w:b/>
          <w:bCs/>
          <w:sz w:val="28"/>
          <w:szCs w:val="28"/>
        </w:rPr>
      </w:pPr>
      <w:r w:rsidRPr="00DD1897">
        <w:rPr>
          <w:b/>
          <w:bCs/>
          <w:sz w:val="28"/>
          <w:szCs w:val="28"/>
        </w:rPr>
        <w:t>Frequently asked questions – POU AMP</w:t>
      </w:r>
    </w:p>
    <w:p w14:paraId="080D2AFF" w14:textId="77777777" w:rsidR="00DD1897" w:rsidRPr="00DD1897" w:rsidRDefault="00DD1897" w:rsidP="00DD1897">
      <w:pPr>
        <w:numPr>
          <w:ilvl w:val="0"/>
          <w:numId w:val="3"/>
        </w:numPr>
        <w:rPr>
          <w:u w:val="single"/>
        </w:rPr>
      </w:pPr>
      <w:r w:rsidRPr="00DD1897">
        <w:rPr>
          <w:b/>
          <w:bCs/>
          <w:u w:val="single"/>
        </w:rPr>
        <w:t xml:space="preserve">What is the POU AMP? </w:t>
      </w:r>
    </w:p>
    <w:p w14:paraId="7C37201F" w14:textId="77777777" w:rsidR="00DD1897" w:rsidRPr="00DD1897" w:rsidRDefault="00DD1897" w:rsidP="00DD1897">
      <w:r w:rsidRPr="00DD1897">
        <w:rPr>
          <w:b/>
          <w:bCs/>
        </w:rPr>
        <w:t xml:space="preserve">Answer: </w:t>
      </w:r>
      <w:r w:rsidRPr="00DD1897">
        <w:t xml:space="preserve">The Pain/Opioid Use Actively Managed Portfolio (POU AMP) has been established as a shared cross-service portfolio with representation from BLR&amp;D, CSR&amp;D, HSR&amp;D and RR&amp;D. The focus of the POU AMP will be to review preclinical, translational, clinical, rehabilitation, and health services/implementation research applications where pain and opioid use, and the consequences of opioid use, are the primary outcome(s) of the study. </w:t>
      </w:r>
    </w:p>
    <w:p w14:paraId="69D83AE6" w14:textId="77777777" w:rsidR="00DD1897" w:rsidRPr="00DD1897" w:rsidRDefault="00DD1897" w:rsidP="00DD1897">
      <w:pPr>
        <w:numPr>
          <w:ilvl w:val="0"/>
          <w:numId w:val="4"/>
        </w:numPr>
      </w:pPr>
      <w:r w:rsidRPr="00DD1897">
        <w:rPr>
          <w:b/>
          <w:bCs/>
          <w:u w:val="single"/>
        </w:rPr>
        <w:t>What funding opportunities are available under the POU AMP</w:t>
      </w:r>
      <w:r w:rsidRPr="00DD1897">
        <w:rPr>
          <w:b/>
          <w:bCs/>
        </w:rPr>
        <w:t xml:space="preserve">? </w:t>
      </w:r>
    </w:p>
    <w:p w14:paraId="27586A4A" w14:textId="77777777" w:rsidR="00DD1897" w:rsidRPr="00DD1897" w:rsidRDefault="00DD1897" w:rsidP="00DD1897">
      <w:r w:rsidRPr="00DD1897">
        <w:rPr>
          <w:b/>
          <w:bCs/>
        </w:rPr>
        <w:t xml:space="preserve">Answer: </w:t>
      </w:r>
      <w:r w:rsidRPr="00DD1897">
        <w:t xml:space="preserve">The POU AMP has 3 merit Request </w:t>
      </w:r>
      <w:proofErr w:type="gramStart"/>
      <w:r w:rsidRPr="00DD1897">
        <w:t>For</w:t>
      </w:r>
      <w:proofErr w:type="gramEnd"/>
      <w:r w:rsidRPr="00DD1897">
        <w:t xml:space="preserve"> Applications (RFAs):</w:t>
      </w:r>
    </w:p>
    <w:p w14:paraId="05F25F78" w14:textId="77777777" w:rsidR="00DD1897" w:rsidRPr="00DD1897" w:rsidRDefault="00DD1897" w:rsidP="00DD1897">
      <w:r w:rsidRPr="00DD1897">
        <w:t xml:space="preserve">1) The Broad Parent POU AMP RFA funds preclinical, translational, observational, behavioral, epidemiological, and health services/implementation research applications focusing on Pain and Opioid Use. </w:t>
      </w:r>
    </w:p>
    <w:p w14:paraId="3E45361E" w14:textId="77777777" w:rsidR="00DD1897" w:rsidRPr="00DD1897" w:rsidRDefault="00DD1897" w:rsidP="00DD1897">
      <w:r w:rsidRPr="00DD1897">
        <w:t>2) A companion Clinical Trial POU AMP RFA for investigator-initiated single and multi-site clinical trials on painful conditions and opioid use in Veterans.</w:t>
      </w:r>
    </w:p>
    <w:p w14:paraId="0039E73B" w14:textId="77777777" w:rsidR="00DD1897" w:rsidRPr="00DD1897" w:rsidRDefault="00DD1897" w:rsidP="00DD1897">
      <w:r w:rsidRPr="00DD1897">
        <w:t>3) A focused RFA on pharmacogenomics and biomarkers</w:t>
      </w:r>
    </w:p>
    <w:p w14:paraId="48687D1A" w14:textId="77777777" w:rsidR="00DD1897" w:rsidRPr="00DD1897" w:rsidRDefault="00DD1897" w:rsidP="00DD1897">
      <w:r w:rsidRPr="00DD1897">
        <w:t xml:space="preserve">Veteran engagement is part of the POU AMP RFAs for clinical research and trials as an </w:t>
      </w:r>
      <w:proofErr w:type="gramStart"/>
      <w:r w:rsidRPr="00DD1897">
        <w:t>unscored criteria</w:t>
      </w:r>
      <w:proofErr w:type="gramEnd"/>
      <w:r w:rsidRPr="00DD1897">
        <w:t xml:space="preserve"> for BX, RX and CX RFAs and a scored criteria for HSRD-focused applications.  </w:t>
      </w:r>
    </w:p>
    <w:p w14:paraId="6B74C6DA" w14:textId="77777777" w:rsidR="00DD1897" w:rsidRPr="00DD1897" w:rsidRDefault="00DD1897" w:rsidP="00DD1897">
      <w:pPr>
        <w:numPr>
          <w:ilvl w:val="0"/>
          <w:numId w:val="5"/>
        </w:numPr>
        <w:rPr>
          <w:u w:val="single"/>
        </w:rPr>
      </w:pPr>
      <w:r w:rsidRPr="00DD1897">
        <w:rPr>
          <w:b/>
          <w:bCs/>
          <w:u w:val="single"/>
        </w:rPr>
        <w:t xml:space="preserve">When will I be able to apply? Are these RFAs offered for Future submission Rounds? </w:t>
      </w:r>
    </w:p>
    <w:p w14:paraId="79FD9187" w14:textId="77777777" w:rsidR="00DD1897" w:rsidRPr="00DD1897" w:rsidRDefault="00DD1897" w:rsidP="00DD1897">
      <w:r w:rsidRPr="00DD1897">
        <w:rPr>
          <w:b/>
          <w:bCs/>
        </w:rPr>
        <w:t xml:space="preserve">Answer: </w:t>
      </w:r>
      <w:r w:rsidRPr="00DD1897">
        <w:t xml:space="preserve">Applications for Rehabilitation and Health Services Research will be accepted for the Winter round, with Pre-applications due on November 1 and full applications due in early December. POU AMP RFAs will continue to be available for future Merit submission rounds as well. Applications will follow the general service timelines (Spring/Fall for BLR&amp;D and CSR&amp;D, and Summer/Winter for HSR&amp;D and RR&amp;D oriented applications); however, they may not have the exact deadlines as the other Parent RFAs in all services. Please check the due dates in the POU AMP RFA </w:t>
      </w:r>
    </w:p>
    <w:p w14:paraId="0FC4DD75" w14:textId="77777777" w:rsidR="00DD1897" w:rsidRPr="00DD1897" w:rsidRDefault="00DD1897" w:rsidP="00DD1897">
      <w:pPr>
        <w:numPr>
          <w:ilvl w:val="0"/>
          <w:numId w:val="6"/>
        </w:numPr>
        <w:rPr>
          <w:u w:val="single"/>
        </w:rPr>
      </w:pPr>
      <w:r w:rsidRPr="00DD1897">
        <w:rPr>
          <w:b/>
          <w:bCs/>
          <w:u w:val="single"/>
        </w:rPr>
        <w:t xml:space="preserve">Is a Letter of Intent required? </w:t>
      </w:r>
    </w:p>
    <w:p w14:paraId="0E709D42" w14:textId="77777777" w:rsidR="00DD1897" w:rsidRPr="00DD1897" w:rsidRDefault="00DD1897" w:rsidP="00DD1897">
      <w:r w:rsidRPr="00DD1897">
        <w:rPr>
          <w:b/>
          <w:bCs/>
        </w:rPr>
        <w:t xml:space="preserve">Answer: </w:t>
      </w:r>
      <w:r w:rsidRPr="00DD1897">
        <w:t>A pre-application is required. Pease refer to BX-23-200, CX-23-200, RX-23-</w:t>
      </w:r>
      <w:proofErr w:type="gramStart"/>
      <w:r w:rsidRPr="00DD1897">
        <w:t>200</w:t>
      </w:r>
      <w:proofErr w:type="gramEnd"/>
      <w:r w:rsidRPr="00DD1897">
        <w:t xml:space="preserve"> and HX-23-200 (Pre-Application RFA for the POU AMP). A Pre-application is required for all POU AMP RFAs and must be submitted through </w:t>
      </w:r>
      <w:proofErr w:type="spellStart"/>
      <w:r w:rsidRPr="00DD1897">
        <w:t>eRA</w:t>
      </w:r>
      <w:proofErr w:type="spellEnd"/>
      <w:r w:rsidRPr="00DD1897">
        <w:t>.  Please check the due dates in the POU AMP RFAs and Pre-application.</w:t>
      </w:r>
    </w:p>
    <w:p w14:paraId="56A38535" w14:textId="77777777" w:rsidR="00DD1897" w:rsidRPr="00DD1897" w:rsidRDefault="00DD1897" w:rsidP="00DD1897">
      <w:pPr>
        <w:numPr>
          <w:ilvl w:val="0"/>
          <w:numId w:val="7"/>
        </w:numPr>
        <w:rPr>
          <w:u w:val="single"/>
        </w:rPr>
      </w:pPr>
      <w:r w:rsidRPr="00DD1897">
        <w:rPr>
          <w:b/>
          <w:bCs/>
          <w:u w:val="single"/>
        </w:rPr>
        <w:t xml:space="preserve">Does this mean other HSR&amp;D, BLR&amp;D and CSR&amp;D RFAs will require a pre-application (I02) through </w:t>
      </w:r>
      <w:proofErr w:type="spellStart"/>
      <w:r w:rsidRPr="00DD1897">
        <w:rPr>
          <w:b/>
          <w:bCs/>
          <w:u w:val="single"/>
        </w:rPr>
        <w:t>eRA</w:t>
      </w:r>
      <w:proofErr w:type="spellEnd"/>
      <w:r w:rsidRPr="00DD1897">
        <w:rPr>
          <w:b/>
          <w:bCs/>
          <w:u w:val="single"/>
        </w:rPr>
        <w:t xml:space="preserve">? How about other requirements? </w:t>
      </w:r>
    </w:p>
    <w:p w14:paraId="5A3A2349" w14:textId="77777777" w:rsidR="00DD1897" w:rsidRPr="00DD1897" w:rsidRDefault="00DD1897" w:rsidP="00DD1897">
      <w:r w:rsidRPr="00DD1897">
        <w:rPr>
          <w:b/>
          <w:bCs/>
        </w:rPr>
        <w:t xml:space="preserve">Answer: </w:t>
      </w:r>
      <w:r w:rsidRPr="00DD1897">
        <w:t xml:space="preserve">No, currently, the only RFAs that require pre-applications are all RR&amp;D RFAs and  three cross-service Pain/Opioid AMP RFAs. Other HSR&amp;D RFAs will still use the Intent to Submit process through ART and other BLR&amp;D and CSR&amp;D RFAs will follow the current LOI requirements for those services, if required by the RFA. Please see the submission requirements for each individual RFA. </w:t>
      </w:r>
    </w:p>
    <w:p w14:paraId="036889FB" w14:textId="77777777" w:rsidR="00DD1897" w:rsidRPr="00DD1897" w:rsidRDefault="00DD1897" w:rsidP="00DD1897">
      <w:pPr>
        <w:numPr>
          <w:ilvl w:val="0"/>
          <w:numId w:val="8"/>
        </w:numPr>
        <w:rPr>
          <w:u w:val="single"/>
        </w:rPr>
      </w:pPr>
      <w:r w:rsidRPr="00DD1897">
        <w:rPr>
          <w:b/>
          <w:bCs/>
          <w:u w:val="single"/>
        </w:rPr>
        <w:t xml:space="preserve"> What are the budget caps for the POU AMP RFAs? </w:t>
      </w:r>
    </w:p>
    <w:p w14:paraId="5C820938" w14:textId="77777777" w:rsidR="00DD1897" w:rsidRPr="00DD1897" w:rsidRDefault="00DD1897" w:rsidP="00DD1897">
      <w:r w:rsidRPr="00DD1897">
        <w:rPr>
          <w:b/>
          <w:bCs/>
        </w:rPr>
        <w:lastRenderedPageBreak/>
        <w:t xml:space="preserve">Answer: </w:t>
      </w:r>
    </w:p>
    <w:p w14:paraId="03A89B8A" w14:textId="77777777" w:rsidR="00DD1897" w:rsidRPr="00DD1897" w:rsidRDefault="00DD1897" w:rsidP="00DD1897">
      <w:r w:rsidRPr="00DD1897">
        <w:rPr>
          <w:b/>
          <w:bCs/>
        </w:rPr>
        <w:t>1) Parent and focused RFA</w:t>
      </w:r>
      <w:r w:rsidRPr="00DD1897">
        <w:t xml:space="preserve">: PD/PIs may request funding for a maximum of four (4) years, based on the total project maximum amount outlined below. There is no annual budget cap; thus, variable funding may be utilized </w:t>
      </w:r>
      <w:proofErr w:type="gramStart"/>
      <w:r w:rsidRPr="00DD1897">
        <w:t>as long as</w:t>
      </w:r>
      <w:proofErr w:type="gramEnd"/>
      <w:r w:rsidRPr="00DD1897">
        <w:t xml:space="preserve"> the overall budget cap (based on years requested) is maintained. </w:t>
      </w:r>
      <w:r w:rsidRPr="00DD1897">
        <w:rPr>
          <w:b/>
          <w:bCs/>
        </w:rPr>
        <w:t xml:space="preserve">The salary for all personnel, including the contact PD/PI is included in this cap. </w:t>
      </w:r>
    </w:p>
    <w:p w14:paraId="7663A9B6" w14:textId="77777777" w:rsidR="00DD1897" w:rsidRPr="00DD1897" w:rsidRDefault="00DD1897" w:rsidP="00DD1897">
      <w:r w:rsidRPr="00DD1897">
        <w:t xml:space="preserve">1 year = $300,000 max </w:t>
      </w:r>
      <w:r w:rsidRPr="00DD1897">
        <w:tab/>
      </w:r>
      <w:r w:rsidRPr="00DD1897">
        <w:tab/>
      </w:r>
      <w:r w:rsidRPr="00DD1897">
        <w:tab/>
        <w:t xml:space="preserve">2 years = $600,000 max </w:t>
      </w:r>
    </w:p>
    <w:p w14:paraId="6872AE3D" w14:textId="77777777" w:rsidR="00DD1897" w:rsidRPr="00DD1897" w:rsidRDefault="00DD1897" w:rsidP="00DD1897">
      <w:r w:rsidRPr="00DD1897">
        <w:t xml:space="preserve">3 years = $900,000 max </w:t>
      </w:r>
      <w:r w:rsidRPr="00DD1897">
        <w:tab/>
      </w:r>
      <w:r w:rsidRPr="00DD1897">
        <w:tab/>
      </w:r>
      <w:r w:rsidRPr="00DD1897">
        <w:tab/>
        <w:t xml:space="preserve">4 years = $1,200,000 max </w:t>
      </w:r>
    </w:p>
    <w:p w14:paraId="7E7EEC20" w14:textId="4E577B77" w:rsidR="00DD1897" w:rsidRDefault="00DD1897" w:rsidP="00DD1897">
      <w:pPr>
        <w:rPr>
          <w:b/>
          <w:bCs/>
        </w:rPr>
      </w:pPr>
      <w:r w:rsidRPr="00DD1897">
        <w:rPr>
          <w:b/>
          <w:bCs/>
        </w:rPr>
        <w:t>2) Clinical Trial RFA Budget:</w:t>
      </w:r>
    </w:p>
    <w:p w14:paraId="0D285E26" w14:textId="61E8020C" w:rsidR="00DD1897" w:rsidRPr="00DD1897" w:rsidRDefault="00DD1897" w:rsidP="00DD1897">
      <w:r w:rsidRPr="00DD1897">
        <w:drawing>
          <wp:inline distT="0" distB="0" distL="0" distR="0" wp14:anchorId="1CA37016" wp14:editId="28ECB3F5">
            <wp:extent cx="5943600" cy="2025650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97778D9B-FB94-E705-41E8-309E3ACCF3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97778D9B-FB94-E705-41E8-309E3ACCF3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58B32" w14:textId="77777777" w:rsidR="00DD1897" w:rsidRPr="00DD1897" w:rsidRDefault="00DD1897" w:rsidP="00DD1897">
      <w:pPr>
        <w:numPr>
          <w:ilvl w:val="0"/>
          <w:numId w:val="9"/>
        </w:numPr>
        <w:rPr>
          <w:u w:val="single"/>
        </w:rPr>
      </w:pPr>
      <w:r w:rsidRPr="00DD1897">
        <w:rPr>
          <w:b/>
          <w:bCs/>
          <w:u w:val="single"/>
        </w:rPr>
        <w:t xml:space="preserve">Where can I find the RFAs? </w:t>
      </w:r>
    </w:p>
    <w:p w14:paraId="2F29FBDF" w14:textId="25FD03CC" w:rsidR="00DD1897" w:rsidRDefault="00DD1897" w:rsidP="00DD1897">
      <w:r w:rsidRPr="00DD1897">
        <w:rPr>
          <w:b/>
          <w:bCs/>
        </w:rPr>
        <w:t xml:space="preserve">Answer: </w:t>
      </w:r>
      <w:r w:rsidRPr="00DD1897">
        <w:t xml:space="preserve">The RFAs are now posted on the RFA page of the ORD intranet site at </w:t>
      </w:r>
      <w:hyperlink r:id="rId8" w:history="1">
        <w:r w:rsidRPr="00DD1897">
          <w:rPr>
            <w:rStyle w:val="Hyperlink"/>
          </w:rPr>
          <w:t>https://vaww.research.va.gov/funding/rfa.cfm</w:t>
        </w:r>
      </w:hyperlink>
      <w:r w:rsidRPr="00DD1897">
        <w:t xml:space="preserve"> (available on the VA intranet, only). Look under the section for ORD Wide Requests for Applications</w:t>
      </w:r>
    </w:p>
    <w:p w14:paraId="349BEEB4" w14:textId="77777777" w:rsidR="00DD1897" w:rsidRPr="00DD1897" w:rsidRDefault="00DD1897" w:rsidP="00DD1897">
      <w:pPr>
        <w:numPr>
          <w:ilvl w:val="0"/>
          <w:numId w:val="10"/>
        </w:numPr>
        <w:rPr>
          <w:u w:val="single"/>
        </w:rPr>
      </w:pPr>
      <w:r w:rsidRPr="00DD1897">
        <w:rPr>
          <w:b/>
          <w:bCs/>
          <w:u w:val="single"/>
        </w:rPr>
        <w:t xml:space="preserve">How do I decide which service/RFA to apply to? </w:t>
      </w:r>
    </w:p>
    <w:p w14:paraId="5D214961" w14:textId="77777777" w:rsidR="00DD1897" w:rsidRPr="00DD1897" w:rsidRDefault="00DD1897" w:rsidP="00DD1897">
      <w:r w:rsidRPr="00DD1897">
        <w:rPr>
          <w:b/>
          <w:bCs/>
        </w:rPr>
        <w:t xml:space="preserve">Answer: </w:t>
      </w:r>
      <w:r w:rsidRPr="00DD1897">
        <w:t xml:space="preserve">Please reach out to POU AMP Scientific POCs: </w:t>
      </w:r>
    </w:p>
    <w:p w14:paraId="6108EDD8" w14:textId="77777777" w:rsidR="00DD1897" w:rsidRPr="00DD1897" w:rsidRDefault="00DD1897" w:rsidP="00DD1897">
      <w:pPr>
        <w:numPr>
          <w:ilvl w:val="0"/>
          <w:numId w:val="11"/>
        </w:numPr>
      </w:pPr>
      <w:r w:rsidRPr="00DD1897">
        <w:rPr>
          <w:b/>
          <w:bCs/>
        </w:rPr>
        <w:t xml:space="preserve">BLR&amp;D: </w:t>
      </w:r>
      <w:r w:rsidRPr="00DD1897">
        <w:t xml:space="preserve">Dr. Carol Fowler; Carol.fowler@va.gov </w:t>
      </w:r>
    </w:p>
    <w:p w14:paraId="2E996EFB" w14:textId="77777777" w:rsidR="00DD1897" w:rsidRPr="00DD1897" w:rsidRDefault="00DD1897" w:rsidP="00DD1897">
      <w:pPr>
        <w:numPr>
          <w:ilvl w:val="0"/>
          <w:numId w:val="11"/>
        </w:numPr>
      </w:pPr>
      <w:r w:rsidRPr="00DD1897">
        <w:rPr>
          <w:b/>
          <w:bCs/>
        </w:rPr>
        <w:t xml:space="preserve">CSR&amp;D: </w:t>
      </w:r>
      <w:r w:rsidRPr="00DD1897">
        <w:t>Dr. Jayanthi Sankar</w:t>
      </w:r>
      <w:r w:rsidRPr="00DD1897">
        <w:rPr>
          <w:b/>
          <w:bCs/>
        </w:rPr>
        <w:t xml:space="preserve">; </w:t>
      </w:r>
      <w:r w:rsidRPr="00DD1897">
        <w:t xml:space="preserve">Jayanthi.sankar@va.gov </w:t>
      </w:r>
    </w:p>
    <w:p w14:paraId="4F436228" w14:textId="77777777" w:rsidR="00DD1897" w:rsidRPr="00DD1897" w:rsidRDefault="00DD1897" w:rsidP="00DD1897">
      <w:pPr>
        <w:numPr>
          <w:ilvl w:val="0"/>
          <w:numId w:val="11"/>
        </w:numPr>
      </w:pPr>
      <w:r w:rsidRPr="00DD1897">
        <w:rPr>
          <w:b/>
          <w:bCs/>
          <w:lang w:val="fr-FR"/>
        </w:rPr>
        <w:t>HSR&amp;</w:t>
      </w:r>
      <w:proofErr w:type="gramStart"/>
      <w:r w:rsidRPr="00DD1897">
        <w:rPr>
          <w:b/>
          <w:bCs/>
          <w:lang w:val="fr-FR"/>
        </w:rPr>
        <w:t>D:</w:t>
      </w:r>
      <w:proofErr w:type="gramEnd"/>
      <w:r w:rsidRPr="00DD1897">
        <w:rPr>
          <w:b/>
          <w:bCs/>
          <w:lang w:val="fr-FR"/>
        </w:rPr>
        <w:t xml:space="preserve"> </w:t>
      </w:r>
      <w:r w:rsidRPr="00DD1897">
        <w:rPr>
          <w:lang w:val="fr-FR"/>
        </w:rPr>
        <w:t>Dr. Cathie Plouzek</w:t>
      </w:r>
      <w:r w:rsidRPr="00DD1897">
        <w:rPr>
          <w:b/>
          <w:bCs/>
          <w:lang w:val="fr-FR"/>
        </w:rPr>
        <w:t xml:space="preserve">; </w:t>
      </w:r>
      <w:r w:rsidRPr="00DD1897">
        <w:rPr>
          <w:lang w:val="fr-FR"/>
        </w:rPr>
        <w:t xml:space="preserve">Cathie.plouzek@va.gov </w:t>
      </w:r>
    </w:p>
    <w:p w14:paraId="4089FFD9" w14:textId="328DCFD1" w:rsidR="00DD1897" w:rsidRPr="009469A2" w:rsidRDefault="00DD1897" w:rsidP="00DD1897">
      <w:pPr>
        <w:numPr>
          <w:ilvl w:val="0"/>
          <w:numId w:val="11"/>
        </w:numPr>
      </w:pPr>
      <w:r w:rsidRPr="00DD1897">
        <w:rPr>
          <w:b/>
          <w:bCs/>
        </w:rPr>
        <w:t xml:space="preserve">RR&amp;D: </w:t>
      </w:r>
      <w:r w:rsidRPr="00DD1897">
        <w:t xml:space="preserve">Dr. Audrey Kusiak; Audrey.kusiak@va.gov </w:t>
      </w:r>
    </w:p>
    <w:p w14:paraId="58DA9A70" w14:textId="2B0D83E7" w:rsidR="00DD1897" w:rsidRPr="009469A2" w:rsidRDefault="00DD1897" w:rsidP="00DD1897">
      <w:pPr>
        <w:pStyle w:val="ListParagraph"/>
        <w:numPr>
          <w:ilvl w:val="0"/>
          <w:numId w:val="14"/>
        </w:numPr>
        <w:rPr>
          <w:u w:val="single"/>
        </w:rPr>
      </w:pPr>
      <w:r w:rsidRPr="009469A2">
        <w:rPr>
          <w:b/>
          <w:bCs/>
          <w:u w:val="single"/>
        </w:rPr>
        <w:t xml:space="preserve">Do we need to do a full preapplication for resubmission of proposals? </w:t>
      </w:r>
    </w:p>
    <w:p w14:paraId="55639F51" w14:textId="4A0F3C77" w:rsidR="00DD1897" w:rsidRDefault="00DD1897" w:rsidP="00DD1897">
      <w:r w:rsidRPr="00DD1897">
        <w:rPr>
          <w:b/>
          <w:bCs/>
        </w:rPr>
        <w:t xml:space="preserve">Answer: </w:t>
      </w:r>
      <w:r w:rsidRPr="00DD1897">
        <w:t xml:space="preserve">Preapplications are required for both new projects and resubmissions.  If you are resubmitting a proposal that </w:t>
      </w:r>
      <w:r w:rsidRPr="00DD1897">
        <w:rPr>
          <w:b/>
          <w:bCs/>
        </w:rPr>
        <w:t>was previously reviewed on the POU AMP RFAs</w:t>
      </w:r>
      <w:r w:rsidRPr="00DD1897">
        <w:t>, you would have to submit a pre-application for each submission. Please see the instructions in the Pre-Application RFAs (</w:t>
      </w:r>
      <w:proofErr w:type="gramStart"/>
      <w:r w:rsidRPr="00DD1897">
        <w:t>i.e.</w:t>
      </w:r>
      <w:proofErr w:type="gramEnd"/>
      <w:r w:rsidRPr="00DD1897">
        <w:t xml:space="preserve"> BX-23-200, CX-23-200, RX-23-200 or HX-23-200) for full instructions on resubmissions. </w:t>
      </w:r>
    </w:p>
    <w:p w14:paraId="7E955A67" w14:textId="77777777" w:rsidR="00DD1897" w:rsidRPr="00DD1897" w:rsidRDefault="00DD1897" w:rsidP="00DD1897">
      <w:pPr>
        <w:numPr>
          <w:ilvl w:val="0"/>
          <w:numId w:val="12"/>
        </w:numPr>
        <w:rPr>
          <w:u w:val="single"/>
        </w:rPr>
      </w:pPr>
      <w:r w:rsidRPr="00DD1897">
        <w:rPr>
          <w:b/>
          <w:bCs/>
          <w:u w:val="single"/>
        </w:rPr>
        <w:t xml:space="preserve">Are there any changes to non-VA investigators role - their salary and involvement? </w:t>
      </w:r>
    </w:p>
    <w:p w14:paraId="42BA0D17" w14:textId="0A8C4048" w:rsidR="00DD1897" w:rsidRPr="00DD1897" w:rsidRDefault="00DD1897" w:rsidP="00DD1897">
      <w:r w:rsidRPr="00DD1897">
        <w:rPr>
          <w:b/>
          <w:bCs/>
        </w:rPr>
        <w:t xml:space="preserve">Answer: </w:t>
      </w:r>
      <w:r w:rsidRPr="00DD1897">
        <w:t xml:space="preserve">Please see the RFAs for more guidance, but briefly: </w:t>
      </w:r>
      <w:proofErr w:type="gramStart"/>
      <w:r w:rsidRPr="00DD1897">
        <w:t>Non-VA</w:t>
      </w:r>
      <w:proofErr w:type="gramEnd"/>
      <w:r w:rsidRPr="00DD1897">
        <w:t xml:space="preserve"> investigators who have an M.D./Ph.D. equivalent are eligible to serve in the role of Co-investigator, but they cannot be listed as such on the budget. The Co-investigator role may be described in the proposal narrative. On the budget they should be reflected as a consultant or as</w:t>
      </w:r>
      <w:r w:rsidR="009469A2">
        <w:t>:</w:t>
      </w:r>
    </w:p>
    <w:p w14:paraId="769505F1" w14:textId="77777777" w:rsidR="00DD1897" w:rsidRPr="00DD1897" w:rsidRDefault="00DD1897" w:rsidP="00DD1897">
      <w:pPr>
        <w:numPr>
          <w:ilvl w:val="0"/>
          <w:numId w:val="13"/>
        </w:numPr>
      </w:pPr>
      <w:r w:rsidRPr="00DD1897">
        <w:t xml:space="preserve">having an Intergovernmental Personnel Act (IPA) assignment, if appropriate. If they are providing research services to VA through a contract, the cost of the contract should be included on the budget forms under all other expenses. Collaborators from outside of the U.S. may only serve as unpaid consultants. </w:t>
      </w:r>
    </w:p>
    <w:p w14:paraId="4E11DF8B" w14:textId="77777777" w:rsidR="00DD1897" w:rsidRPr="00DD1897" w:rsidRDefault="00DD1897" w:rsidP="00DD1897">
      <w:pPr>
        <w:numPr>
          <w:ilvl w:val="0"/>
          <w:numId w:val="13"/>
        </w:numPr>
      </w:pPr>
      <w:r w:rsidRPr="00DD1897">
        <w:t xml:space="preserve">A Site PI must meet the same qualifications as a Study PI; this includes a minimum of a 5/8th VA appointment or waiver of the 5/8th appointment eligibility requirement, a M.D./Ph.D. or equivalent. </w:t>
      </w:r>
    </w:p>
    <w:p w14:paraId="1EB9AE0A" w14:textId="77777777" w:rsidR="00DD1897" w:rsidRPr="00DD1897" w:rsidRDefault="00DD1897" w:rsidP="00DD1897">
      <w:pPr>
        <w:numPr>
          <w:ilvl w:val="0"/>
          <w:numId w:val="13"/>
        </w:numPr>
      </w:pPr>
      <w:r w:rsidRPr="00DD1897">
        <w:t xml:space="preserve">See Program Guide 1200.15: Eligibility for VA Research Support for additional guidance.  </w:t>
      </w:r>
    </w:p>
    <w:p w14:paraId="458F7347" w14:textId="77777777" w:rsidR="00DD1897" w:rsidRPr="00DD1897" w:rsidRDefault="00DD1897" w:rsidP="00DD1897"/>
    <w:p w14:paraId="76877695" w14:textId="77777777" w:rsidR="00DD1897" w:rsidRPr="00DD1897" w:rsidRDefault="00DD1897" w:rsidP="00DD1897"/>
    <w:p w14:paraId="53654BD3" w14:textId="77777777" w:rsidR="00DD1897" w:rsidRDefault="00DD1897"/>
    <w:sectPr w:rsidR="00DD1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8529" w14:textId="77777777" w:rsidR="003B57B7" w:rsidRDefault="003B57B7" w:rsidP="009469A2">
      <w:pPr>
        <w:spacing w:after="0" w:line="240" w:lineRule="auto"/>
      </w:pPr>
      <w:r>
        <w:separator/>
      </w:r>
    </w:p>
  </w:endnote>
  <w:endnote w:type="continuationSeparator" w:id="0">
    <w:p w14:paraId="6DF4C8C3" w14:textId="77777777" w:rsidR="003B57B7" w:rsidRDefault="003B57B7" w:rsidP="0094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B67D" w14:textId="77777777" w:rsidR="009469A2" w:rsidRDefault="00946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376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4C8587" w14:textId="70FC2EAF" w:rsidR="009469A2" w:rsidRDefault="009469A2" w:rsidP="009469A2">
        <w:pPr>
          <w:pStyle w:val="Footer"/>
        </w:pPr>
        <w:r>
          <w:t xml:space="preserve">POU AMP Frequently Asked Questions  -   October 3, 2023                   </w:t>
        </w:r>
        <w:r>
          <w:t xml:space="preserve">           </w:t>
        </w:r>
        <w:r>
          <w:t xml:space="preserve">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t xml:space="preserve"> </w:t>
        </w:r>
      </w:p>
      <w:p w14:paraId="6F627068" w14:textId="40AB3913" w:rsidR="009469A2" w:rsidRDefault="009469A2">
        <w:pPr>
          <w:pStyle w:val="Footer"/>
        </w:pPr>
        <w:r>
          <w:rPr>
            <w:noProof/>
          </w:rPr>
          <w:tab/>
        </w:r>
        <w:r>
          <w:rPr>
            <w:noProof/>
          </w:rPr>
          <w:tab/>
        </w:r>
      </w:p>
    </w:sdtContent>
  </w:sdt>
  <w:p w14:paraId="71C1C35D" w14:textId="77777777" w:rsidR="009469A2" w:rsidRDefault="009469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9C81" w14:textId="77777777" w:rsidR="009469A2" w:rsidRDefault="0094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443E" w14:textId="77777777" w:rsidR="003B57B7" w:rsidRDefault="003B57B7" w:rsidP="009469A2">
      <w:pPr>
        <w:spacing w:after="0" w:line="240" w:lineRule="auto"/>
      </w:pPr>
      <w:r>
        <w:separator/>
      </w:r>
    </w:p>
  </w:footnote>
  <w:footnote w:type="continuationSeparator" w:id="0">
    <w:p w14:paraId="2327A01C" w14:textId="77777777" w:rsidR="003B57B7" w:rsidRDefault="003B57B7" w:rsidP="0094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4337" w14:textId="77777777" w:rsidR="009469A2" w:rsidRDefault="00946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F012" w14:textId="77777777" w:rsidR="009469A2" w:rsidRDefault="00946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1821" w14:textId="77777777" w:rsidR="009469A2" w:rsidRDefault="00946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DA2"/>
    <w:multiLevelType w:val="hybridMultilevel"/>
    <w:tmpl w:val="16F86E50"/>
    <w:lvl w:ilvl="0" w:tplc="8CF62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86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C1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E8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A2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87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89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DC4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03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13715D"/>
    <w:multiLevelType w:val="hybridMultilevel"/>
    <w:tmpl w:val="9816E8FE"/>
    <w:lvl w:ilvl="0" w:tplc="1EA646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0C09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583F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F301F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33ED2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F7AC8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32AB7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A069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4083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5F620A9"/>
    <w:multiLevelType w:val="hybridMultilevel"/>
    <w:tmpl w:val="3F3C57B6"/>
    <w:lvl w:ilvl="0" w:tplc="7B480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C4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87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27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C5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E6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2D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8D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47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AF52AA"/>
    <w:multiLevelType w:val="hybridMultilevel"/>
    <w:tmpl w:val="248C6BDA"/>
    <w:lvl w:ilvl="0" w:tplc="0366B0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5834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3288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C6AA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4096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22C1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72BC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D4DD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04E9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0A976ED"/>
    <w:multiLevelType w:val="hybridMultilevel"/>
    <w:tmpl w:val="67B024AA"/>
    <w:lvl w:ilvl="0" w:tplc="F7A89D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3AE84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80828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30C7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B227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C2A5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2EA9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7662D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E8C78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7F33042"/>
    <w:multiLevelType w:val="hybridMultilevel"/>
    <w:tmpl w:val="14E0483E"/>
    <w:lvl w:ilvl="0" w:tplc="CA20BF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5F6A7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EE8F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71646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BCFA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44CF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352EA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303F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6EAA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3FBF3E32"/>
    <w:multiLevelType w:val="hybridMultilevel"/>
    <w:tmpl w:val="8A6CBD8A"/>
    <w:lvl w:ilvl="0" w:tplc="EE0CD6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3C8F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C6BB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4AA1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729C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CCEAE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A20EF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96DF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9A9E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4C477A08"/>
    <w:multiLevelType w:val="hybridMultilevel"/>
    <w:tmpl w:val="8BD864BE"/>
    <w:lvl w:ilvl="0" w:tplc="4D1223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E64C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8CF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B087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B12CD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3C54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2F461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80C1F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72E6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56204A74"/>
    <w:multiLevelType w:val="hybridMultilevel"/>
    <w:tmpl w:val="1B30571A"/>
    <w:lvl w:ilvl="0" w:tplc="D5C22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C3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8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0D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2F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0F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86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45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AD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BA0062"/>
    <w:multiLevelType w:val="hybridMultilevel"/>
    <w:tmpl w:val="9CA6336A"/>
    <w:lvl w:ilvl="0" w:tplc="BD26D2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12DC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92BA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5029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22AD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4420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1203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8D44E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FCB0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6CD21645"/>
    <w:multiLevelType w:val="hybridMultilevel"/>
    <w:tmpl w:val="19427886"/>
    <w:lvl w:ilvl="0" w:tplc="163EB8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940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0CDC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AD46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3FA0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4C8AA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BAFE3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66BCA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BA1084A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1" w15:restartNumberingAfterBreak="0">
    <w:nsid w:val="6E6A184C"/>
    <w:multiLevelType w:val="hybridMultilevel"/>
    <w:tmpl w:val="7F045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321427"/>
    <w:multiLevelType w:val="hybridMultilevel"/>
    <w:tmpl w:val="C0029F0A"/>
    <w:lvl w:ilvl="0" w:tplc="BF6AD9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A4C9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36A73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FB4CF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9443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9622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5A45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72612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6C0B1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71E37417"/>
    <w:multiLevelType w:val="hybridMultilevel"/>
    <w:tmpl w:val="C150B5D0"/>
    <w:lvl w:ilvl="0" w:tplc="90E8BA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2011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8ED9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8D256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5CD9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F004A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7A09F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06498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3EE5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407531393">
    <w:abstractNumId w:val="0"/>
  </w:num>
  <w:num w:numId="2" w16cid:durableId="1537308345">
    <w:abstractNumId w:val="2"/>
  </w:num>
  <w:num w:numId="3" w16cid:durableId="1410082706">
    <w:abstractNumId w:val="9"/>
  </w:num>
  <w:num w:numId="4" w16cid:durableId="1060205404">
    <w:abstractNumId w:val="6"/>
  </w:num>
  <w:num w:numId="5" w16cid:durableId="2039119863">
    <w:abstractNumId w:val="3"/>
  </w:num>
  <w:num w:numId="6" w16cid:durableId="1837840587">
    <w:abstractNumId w:val="13"/>
  </w:num>
  <w:num w:numId="7" w16cid:durableId="2007005016">
    <w:abstractNumId w:val="7"/>
  </w:num>
  <w:num w:numId="8" w16cid:durableId="1295674034">
    <w:abstractNumId w:val="4"/>
  </w:num>
  <w:num w:numId="9" w16cid:durableId="231938141">
    <w:abstractNumId w:val="12"/>
  </w:num>
  <w:num w:numId="10" w16cid:durableId="1444689888">
    <w:abstractNumId w:val="5"/>
  </w:num>
  <w:num w:numId="11" w16cid:durableId="1540780437">
    <w:abstractNumId w:val="10"/>
  </w:num>
  <w:num w:numId="12" w16cid:durableId="1663462168">
    <w:abstractNumId w:val="1"/>
  </w:num>
  <w:num w:numId="13" w16cid:durableId="1139421009">
    <w:abstractNumId w:val="8"/>
  </w:num>
  <w:num w:numId="14" w16cid:durableId="1441292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97"/>
    <w:rsid w:val="00252DED"/>
    <w:rsid w:val="003B57B7"/>
    <w:rsid w:val="009469A2"/>
    <w:rsid w:val="00D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19D1"/>
  <w15:chartTrackingRefBased/>
  <w15:docId w15:val="{CF5CD102-942A-40CD-9883-3B2366A1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8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8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1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9A2"/>
  </w:style>
  <w:style w:type="paragraph" w:styleId="Footer">
    <w:name w:val="footer"/>
    <w:basedOn w:val="Normal"/>
    <w:link w:val="FooterChar"/>
    <w:uiPriority w:val="99"/>
    <w:unhideWhenUsed/>
    <w:rsid w:val="00946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2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2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0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7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3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ww.research.va.gov/funding/rfa.cf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Carol B. (she/her/hers)</dc:creator>
  <cp:keywords/>
  <dc:description/>
  <cp:lastModifiedBy>Fowler, Carol B. (she/her/hers)</cp:lastModifiedBy>
  <cp:revision>1</cp:revision>
  <dcterms:created xsi:type="dcterms:W3CDTF">2023-10-05T19:19:00Z</dcterms:created>
  <dcterms:modified xsi:type="dcterms:W3CDTF">2023-10-05T19:35:00Z</dcterms:modified>
</cp:coreProperties>
</file>