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36" w:rsidRDefault="00076536" w:rsidP="00076536">
      <w:pPr>
        <w:jc w:val="center"/>
        <w:rPr>
          <w:i/>
          <w:sz w:val="20"/>
          <w:szCs w:val="20"/>
        </w:rPr>
      </w:pPr>
    </w:p>
    <w:p w:rsidR="003C2CA7" w:rsidRPr="00076536" w:rsidRDefault="003C2CA7" w:rsidP="00076536">
      <w:pPr>
        <w:jc w:val="center"/>
        <w:rPr>
          <w:i/>
          <w:sz w:val="20"/>
          <w:szCs w:val="20"/>
        </w:rPr>
      </w:pPr>
    </w:p>
    <w:p w:rsidR="00F00322" w:rsidRPr="0076356B" w:rsidRDefault="00F00322" w:rsidP="000A62DA">
      <w:pPr>
        <w:jc w:val="center"/>
        <w:rPr>
          <w:b/>
          <w:sz w:val="22"/>
          <w:szCs w:val="22"/>
          <w:u w:val="single"/>
        </w:rPr>
      </w:pPr>
      <w:r w:rsidRPr="0076356B">
        <w:rPr>
          <w:b/>
          <w:sz w:val="22"/>
          <w:szCs w:val="22"/>
          <w:u w:val="single"/>
        </w:rPr>
        <w:t xml:space="preserve">Resources and Tools Related to Human Specimen </w:t>
      </w:r>
      <w:r w:rsidR="004F4A2E">
        <w:rPr>
          <w:b/>
          <w:sz w:val="22"/>
          <w:szCs w:val="22"/>
          <w:u w:val="single"/>
        </w:rPr>
        <w:t>Research</w:t>
      </w:r>
    </w:p>
    <w:p w:rsidR="00F24939" w:rsidRPr="0076356B" w:rsidRDefault="00F24939" w:rsidP="00497666">
      <w:pPr>
        <w:jc w:val="center"/>
        <w:rPr>
          <w:b/>
          <w:sz w:val="22"/>
          <w:szCs w:val="22"/>
        </w:rPr>
      </w:pPr>
    </w:p>
    <w:p w:rsidR="006D057A" w:rsidRPr="0076356B" w:rsidRDefault="006D057A" w:rsidP="006D057A">
      <w:pPr>
        <w:ind w:left="1080"/>
        <w:rPr>
          <w:sz w:val="22"/>
          <w:szCs w:val="22"/>
        </w:rPr>
      </w:pPr>
    </w:p>
    <w:p w:rsidR="000A62DA" w:rsidRPr="00D111BB" w:rsidRDefault="000A62DA" w:rsidP="000A62DA">
      <w:pPr>
        <w:numPr>
          <w:ilvl w:val="0"/>
          <w:numId w:val="1"/>
        </w:numPr>
        <w:rPr>
          <w:color w:val="0000FF"/>
          <w:sz w:val="22"/>
          <w:szCs w:val="22"/>
          <w:u w:val="single"/>
        </w:rPr>
      </w:pPr>
      <w:r w:rsidRPr="00D111BB">
        <w:rPr>
          <w:b/>
          <w:bCs/>
        </w:rPr>
        <w:t>Secretary’s Advisory Committee on Human Research Protections</w:t>
      </w:r>
      <w:r w:rsidRPr="003F6D52">
        <w:t xml:space="preserve"> </w:t>
      </w:r>
    </w:p>
    <w:p w:rsidR="000A62DA" w:rsidRPr="00D111BB" w:rsidRDefault="005A5F6C" w:rsidP="000A62DA">
      <w:pPr>
        <w:numPr>
          <w:ilvl w:val="1"/>
          <w:numId w:val="1"/>
        </w:numPr>
        <w:rPr>
          <w:rStyle w:val="Hyperlink"/>
          <w:sz w:val="22"/>
          <w:szCs w:val="22"/>
        </w:rPr>
      </w:pPr>
      <w:hyperlink r:id="rId7" w:history="1">
        <w:r w:rsidR="000A62DA" w:rsidRPr="00D111BB">
          <w:rPr>
            <w:rStyle w:val="Hyperlink"/>
            <w:sz w:val="22"/>
            <w:szCs w:val="22"/>
          </w:rPr>
          <w:t>http://www.hhs.g</w:t>
        </w:r>
        <w:r w:rsidR="000A62DA" w:rsidRPr="00D111BB">
          <w:rPr>
            <w:rStyle w:val="Hyperlink"/>
            <w:sz w:val="22"/>
            <w:szCs w:val="22"/>
          </w:rPr>
          <w:t>o</w:t>
        </w:r>
        <w:r w:rsidR="000A62DA" w:rsidRPr="00D111BB">
          <w:rPr>
            <w:rStyle w:val="Hyperlink"/>
            <w:sz w:val="22"/>
            <w:szCs w:val="22"/>
          </w:rPr>
          <w:t>v/ohrp/sachrp</w:t>
        </w:r>
      </w:hyperlink>
      <w:r w:rsidR="000A62DA" w:rsidRPr="00D111BB">
        <w:rPr>
          <w:rStyle w:val="Hyperlink"/>
          <w:sz w:val="22"/>
          <w:szCs w:val="22"/>
        </w:rPr>
        <w:t xml:space="preserve"> </w:t>
      </w:r>
    </w:p>
    <w:p w:rsidR="000A62DA" w:rsidRPr="00D111BB" w:rsidRDefault="000A62DA" w:rsidP="000A62DA">
      <w:pPr>
        <w:numPr>
          <w:ilvl w:val="1"/>
          <w:numId w:val="1"/>
        </w:numPr>
        <w:rPr>
          <w:sz w:val="22"/>
          <w:szCs w:val="22"/>
        </w:rPr>
      </w:pPr>
      <w:r w:rsidRPr="00D111BB">
        <w:rPr>
          <w:sz w:val="22"/>
          <w:szCs w:val="22"/>
        </w:rPr>
        <w:t>FAQs on Specimen Research (See letter to the Secretary, January 2011)</w:t>
      </w:r>
    </w:p>
    <w:p w:rsidR="000A62DA" w:rsidRPr="00D111BB" w:rsidRDefault="000A62DA" w:rsidP="000A62DA">
      <w:pPr>
        <w:numPr>
          <w:ilvl w:val="1"/>
          <w:numId w:val="1"/>
        </w:numPr>
        <w:rPr>
          <w:sz w:val="22"/>
          <w:szCs w:val="22"/>
        </w:rPr>
      </w:pPr>
      <w:r w:rsidRPr="00D111BB">
        <w:rPr>
          <w:sz w:val="22"/>
          <w:szCs w:val="22"/>
        </w:rPr>
        <w:t>Implications of the Havasupai Case (July 21, 2010)</w:t>
      </w:r>
    </w:p>
    <w:p w:rsidR="000A62DA" w:rsidRPr="00D111BB" w:rsidRDefault="000A62DA" w:rsidP="000A62DA">
      <w:pPr>
        <w:numPr>
          <w:ilvl w:val="1"/>
          <w:numId w:val="1"/>
        </w:numPr>
        <w:rPr>
          <w:sz w:val="22"/>
          <w:szCs w:val="22"/>
        </w:rPr>
      </w:pPr>
      <w:r w:rsidRPr="00D111BB">
        <w:rPr>
          <w:sz w:val="22"/>
          <w:szCs w:val="22"/>
        </w:rPr>
        <w:t>Discussion of Identifiability (October 20, 2010)</w:t>
      </w:r>
    </w:p>
    <w:p w:rsidR="00F24939" w:rsidRPr="0076356B" w:rsidRDefault="00F24939" w:rsidP="00F24939">
      <w:pPr>
        <w:numPr>
          <w:ilvl w:val="0"/>
          <w:numId w:val="1"/>
        </w:numPr>
        <w:rPr>
          <w:b/>
          <w:sz w:val="22"/>
          <w:szCs w:val="22"/>
        </w:rPr>
      </w:pPr>
      <w:r w:rsidRPr="0076356B">
        <w:rPr>
          <w:b/>
          <w:sz w:val="22"/>
          <w:szCs w:val="22"/>
        </w:rPr>
        <w:t xml:space="preserve">Report of the Public Responsibility in Medicine and Research (PRIM&amp;R) Human Tissue/Specimen Banking Working Group </w:t>
      </w:r>
    </w:p>
    <w:p w:rsidR="00F24939" w:rsidRPr="003C07D8" w:rsidRDefault="003C07D8" w:rsidP="003C07D8">
      <w:pPr>
        <w:numPr>
          <w:ilvl w:val="1"/>
          <w:numId w:val="1"/>
        </w:numPr>
        <w:rPr>
          <w:rStyle w:val="Hyperlink"/>
        </w:rPr>
      </w:pPr>
      <w:r w:rsidRPr="003C07D8">
        <w:rPr>
          <w:rStyle w:val="Hyperlink"/>
          <w:sz w:val="22"/>
          <w:szCs w:val="22"/>
        </w:rPr>
        <w:t>http://www.primr.org/AboutUs.aspx?id=12712</w:t>
      </w:r>
    </w:p>
    <w:p w:rsidR="00350EC7" w:rsidRPr="00D111BB" w:rsidRDefault="00EF569A" w:rsidP="00350EC7">
      <w:pPr>
        <w:numPr>
          <w:ilvl w:val="1"/>
          <w:numId w:val="1"/>
        </w:numPr>
        <w:rPr>
          <w:b/>
          <w:sz w:val="22"/>
          <w:szCs w:val="22"/>
        </w:rPr>
      </w:pPr>
      <w:r w:rsidRPr="00D111BB">
        <w:rPr>
          <w:sz w:val="22"/>
          <w:szCs w:val="22"/>
        </w:rPr>
        <w:t>This report</w:t>
      </w:r>
      <w:r w:rsidR="00F24939" w:rsidRPr="00D111BB">
        <w:rPr>
          <w:sz w:val="22"/>
          <w:szCs w:val="22"/>
        </w:rPr>
        <w:t>, written by a group representing the full range of stakeholders in specimen research, is organized into two parts. The first part includes a discussion of current challenges in the area of human specimen banking and recommendations to the federal regulatory and funding agencies. The second part provides tools for IRBs, repository managers, and researchers in the form of educational materials, discussions of relevant issues, and points to consider</w:t>
      </w:r>
      <w:r w:rsidR="001F09B1" w:rsidRPr="00D111BB">
        <w:rPr>
          <w:sz w:val="22"/>
          <w:szCs w:val="22"/>
        </w:rPr>
        <w:t>.</w:t>
      </w:r>
    </w:p>
    <w:p w:rsidR="00350EC7" w:rsidRDefault="00350EC7" w:rsidP="00350EC7">
      <w:pPr>
        <w:numPr>
          <w:ilvl w:val="0"/>
          <w:numId w:val="1"/>
        </w:numPr>
        <w:rPr>
          <w:b/>
          <w:sz w:val="22"/>
          <w:szCs w:val="22"/>
        </w:rPr>
      </w:pPr>
      <w:r>
        <w:rPr>
          <w:b/>
          <w:sz w:val="22"/>
          <w:szCs w:val="22"/>
        </w:rPr>
        <w:t>National Conference of State Legislatures, Information on Genetic Privacy Laws</w:t>
      </w:r>
    </w:p>
    <w:p w:rsidR="001E0C07" w:rsidRPr="001E0C07" w:rsidRDefault="001E0C07" w:rsidP="001E0C07">
      <w:pPr>
        <w:numPr>
          <w:ilvl w:val="1"/>
          <w:numId w:val="1"/>
        </w:numPr>
        <w:rPr>
          <w:rStyle w:val="Hyperlink"/>
          <w:sz w:val="22"/>
          <w:szCs w:val="22"/>
        </w:rPr>
      </w:pPr>
      <w:r w:rsidRPr="001E0C07">
        <w:rPr>
          <w:rStyle w:val="Hyperlink"/>
          <w:sz w:val="22"/>
          <w:szCs w:val="22"/>
        </w:rPr>
        <w:t xml:space="preserve">http://www.ncsl.org/IssuesResearch/Health/GeneticPrivacyLaws/tabid/14287/Default.aspx </w:t>
      </w:r>
    </w:p>
    <w:p w:rsidR="00444C06" w:rsidRPr="00D111BB" w:rsidRDefault="00350EC7" w:rsidP="00444C06">
      <w:pPr>
        <w:numPr>
          <w:ilvl w:val="1"/>
          <w:numId w:val="1"/>
        </w:numPr>
        <w:rPr>
          <w:sz w:val="22"/>
          <w:szCs w:val="22"/>
        </w:rPr>
      </w:pPr>
      <w:r w:rsidRPr="00D111BB">
        <w:rPr>
          <w:sz w:val="22"/>
          <w:szCs w:val="22"/>
        </w:rPr>
        <w:t>This page contains links to information on state genetic privacy laws, including the Congressional Research Service, March 2008 report, “Genetic Information:  Legal Issues Relating to Discrimination and Privacy” as well as the texts of individual state laws.</w:t>
      </w:r>
    </w:p>
    <w:p w:rsidR="00444C06" w:rsidRPr="00444C06" w:rsidRDefault="00444C06" w:rsidP="00444C06">
      <w:pPr>
        <w:numPr>
          <w:ilvl w:val="0"/>
          <w:numId w:val="5"/>
        </w:numPr>
        <w:rPr>
          <w:b/>
          <w:sz w:val="22"/>
          <w:szCs w:val="22"/>
        </w:rPr>
      </w:pPr>
      <w:r w:rsidRPr="00444C06">
        <w:rPr>
          <w:b/>
          <w:sz w:val="22"/>
          <w:szCs w:val="22"/>
        </w:rPr>
        <w:t>National H</w:t>
      </w:r>
      <w:r w:rsidR="00D111BB">
        <w:rPr>
          <w:b/>
          <w:sz w:val="22"/>
          <w:szCs w:val="22"/>
        </w:rPr>
        <w:t>uman Genome Research Institute W</w:t>
      </w:r>
      <w:r w:rsidRPr="00444C06">
        <w:rPr>
          <w:b/>
          <w:sz w:val="22"/>
          <w:szCs w:val="22"/>
        </w:rPr>
        <w:t>ebpage on Informed Consent for Genomic Research</w:t>
      </w:r>
    </w:p>
    <w:p w:rsidR="00444C06" w:rsidRDefault="005A5F6C" w:rsidP="00444C06">
      <w:pPr>
        <w:numPr>
          <w:ilvl w:val="1"/>
          <w:numId w:val="5"/>
        </w:numPr>
        <w:rPr>
          <w:sz w:val="22"/>
          <w:szCs w:val="22"/>
        </w:rPr>
      </w:pPr>
      <w:hyperlink r:id="rId8" w:history="1">
        <w:r w:rsidR="00444C06" w:rsidRPr="00A86AE8">
          <w:rPr>
            <w:rStyle w:val="Hyperlink"/>
            <w:sz w:val="22"/>
            <w:szCs w:val="22"/>
          </w:rPr>
          <w:t>http://www.genome.gov/27026588</w:t>
        </w:r>
      </w:hyperlink>
    </w:p>
    <w:p w:rsidR="00BA1EE1" w:rsidRPr="00D111BB" w:rsidRDefault="00444C06" w:rsidP="00D111BB">
      <w:pPr>
        <w:numPr>
          <w:ilvl w:val="1"/>
          <w:numId w:val="1"/>
        </w:numPr>
        <w:rPr>
          <w:sz w:val="22"/>
          <w:szCs w:val="22"/>
        </w:rPr>
      </w:pPr>
      <w:r>
        <w:rPr>
          <w:sz w:val="22"/>
          <w:szCs w:val="22"/>
        </w:rPr>
        <w:t xml:space="preserve">This webpage </w:t>
      </w:r>
      <w:r w:rsidRPr="00444C06">
        <w:rPr>
          <w:sz w:val="22"/>
          <w:szCs w:val="22"/>
        </w:rPr>
        <w:t>provide the research community with information to assist the development of informed consent materials for genomics-related research projects such as genome-wide association (GWA) and genome sequencing studies.</w:t>
      </w:r>
    </w:p>
    <w:p w:rsidR="00444C06" w:rsidRDefault="00444C06" w:rsidP="00444C06">
      <w:pPr>
        <w:numPr>
          <w:ilvl w:val="0"/>
          <w:numId w:val="1"/>
        </w:numPr>
        <w:rPr>
          <w:sz w:val="22"/>
          <w:szCs w:val="22"/>
        </w:rPr>
      </w:pPr>
      <w:r w:rsidRPr="00BA1EE1">
        <w:rPr>
          <w:b/>
          <w:sz w:val="22"/>
          <w:szCs w:val="22"/>
        </w:rPr>
        <w:t>Department of Health and Human Services (HHS), “GINA”, The Genetic Information Nondiscrimination Act of 2008, Information for Researchers and Health Care</w:t>
      </w:r>
      <w:r w:rsidR="00BA1EE1" w:rsidRPr="00BA1EE1">
        <w:rPr>
          <w:b/>
          <w:sz w:val="22"/>
          <w:szCs w:val="22"/>
        </w:rPr>
        <w:t xml:space="preserve"> Professionals</w:t>
      </w:r>
      <w:r w:rsidR="00BA1EE1">
        <w:rPr>
          <w:sz w:val="22"/>
          <w:szCs w:val="22"/>
        </w:rPr>
        <w:t>”</w:t>
      </w:r>
    </w:p>
    <w:p w:rsidR="00BA1EE1" w:rsidRDefault="005A5F6C" w:rsidP="00BA1EE1">
      <w:pPr>
        <w:numPr>
          <w:ilvl w:val="1"/>
          <w:numId w:val="1"/>
        </w:numPr>
        <w:rPr>
          <w:sz w:val="22"/>
          <w:szCs w:val="22"/>
        </w:rPr>
      </w:pPr>
      <w:hyperlink r:id="rId9" w:history="1">
        <w:r w:rsidR="00BA1EE1" w:rsidRPr="00A86AE8">
          <w:rPr>
            <w:rStyle w:val="Hyperlink"/>
            <w:sz w:val="22"/>
            <w:szCs w:val="22"/>
          </w:rPr>
          <w:t>http://www.gen</w:t>
        </w:r>
        <w:r w:rsidR="00BA1EE1" w:rsidRPr="00A86AE8">
          <w:rPr>
            <w:rStyle w:val="Hyperlink"/>
            <w:sz w:val="22"/>
            <w:szCs w:val="22"/>
          </w:rPr>
          <w:t>o</w:t>
        </w:r>
        <w:r w:rsidR="00BA1EE1" w:rsidRPr="00A86AE8">
          <w:rPr>
            <w:rStyle w:val="Hyperlink"/>
            <w:sz w:val="22"/>
            <w:szCs w:val="22"/>
          </w:rPr>
          <w:t>me.gov/Pages/PolicyEthics/GeneticDiscrimination/GINAInfoDoc.pdf</w:t>
        </w:r>
      </w:hyperlink>
    </w:p>
    <w:p w:rsidR="006D057A" w:rsidRPr="00D111BB" w:rsidRDefault="00BA1EE1" w:rsidP="00444C06">
      <w:pPr>
        <w:numPr>
          <w:ilvl w:val="1"/>
          <w:numId w:val="1"/>
        </w:numPr>
        <w:rPr>
          <w:sz w:val="22"/>
          <w:szCs w:val="22"/>
        </w:rPr>
      </w:pPr>
      <w:r w:rsidRPr="00BA1EE1">
        <w:rPr>
          <w:sz w:val="22"/>
          <w:szCs w:val="22"/>
        </w:rPr>
        <w:t>This fact sheet provides an explanation of the statute to assist those involved in clinical research to understand the law and its prohibitions related to discrimination in health coverage and employment based on genetic</w:t>
      </w:r>
      <w:r w:rsidR="001F09B1">
        <w:rPr>
          <w:sz w:val="22"/>
          <w:szCs w:val="22"/>
        </w:rPr>
        <w:t xml:space="preserve"> information.</w:t>
      </w:r>
    </w:p>
    <w:p w:rsidR="00D111BB" w:rsidRDefault="00D111BB" w:rsidP="00D111BB">
      <w:pPr>
        <w:numPr>
          <w:ilvl w:val="0"/>
          <w:numId w:val="1"/>
        </w:numPr>
        <w:rPr>
          <w:b/>
          <w:sz w:val="22"/>
          <w:szCs w:val="22"/>
        </w:rPr>
      </w:pPr>
      <w:r w:rsidRPr="00D111BB">
        <w:rPr>
          <w:b/>
          <w:sz w:val="22"/>
          <w:szCs w:val="22"/>
        </w:rPr>
        <w:t>International Society for Biological and Environmental Repositories (ISBER) “</w:t>
      </w:r>
      <w:r w:rsidR="00B24C13">
        <w:rPr>
          <w:b/>
          <w:sz w:val="22"/>
          <w:szCs w:val="22"/>
        </w:rPr>
        <w:t xml:space="preserve">2012 </w:t>
      </w:r>
      <w:r w:rsidRPr="00D111BB">
        <w:rPr>
          <w:b/>
          <w:sz w:val="22"/>
          <w:szCs w:val="22"/>
        </w:rPr>
        <w:t xml:space="preserve">Best Practices for Repositories” </w:t>
      </w:r>
    </w:p>
    <w:p w:rsidR="004A06C9" w:rsidRPr="004A06C9" w:rsidRDefault="004A06C9" w:rsidP="004A06C9">
      <w:pPr>
        <w:numPr>
          <w:ilvl w:val="1"/>
          <w:numId w:val="1"/>
        </w:numPr>
        <w:rPr>
          <w:rStyle w:val="Hyperlink"/>
        </w:rPr>
      </w:pPr>
      <w:r w:rsidRPr="004A06C9">
        <w:rPr>
          <w:rStyle w:val="Hyperlink"/>
        </w:rPr>
        <w:t>http://www.isber.org/bp/</w:t>
      </w:r>
    </w:p>
    <w:p w:rsidR="00D111BB" w:rsidRPr="00157E7E" w:rsidRDefault="00D111BB" w:rsidP="004A06C9">
      <w:pPr>
        <w:numPr>
          <w:ilvl w:val="0"/>
          <w:numId w:val="1"/>
        </w:numPr>
        <w:rPr>
          <w:b/>
          <w:sz w:val="22"/>
          <w:szCs w:val="22"/>
        </w:rPr>
      </w:pPr>
      <w:r w:rsidRPr="00157E7E">
        <w:rPr>
          <w:b/>
          <w:sz w:val="22"/>
          <w:szCs w:val="22"/>
        </w:rPr>
        <w:t>National Cancer Institute Best Pract</w:t>
      </w:r>
      <w:r w:rsidR="00157E7E">
        <w:rPr>
          <w:b/>
          <w:sz w:val="22"/>
          <w:szCs w:val="22"/>
        </w:rPr>
        <w:t xml:space="preserve">ices for Biospecimen Resources </w:t>
      </w:r>
    </w:p>
    <w:p w:rsidR="006C49C7" w:rsidRPr="00157E7E" w:rsidRDefault="00157E7E" w:rsidP="00157E7E">
      <w:pPr>
        <w:numPr>
          <w:ilvl w:val="1"/>
          <w:numId w:val="1"/>
        </w:numPr>
        <w:rPr>
          <w:rStyle w:val="Hyperlink"/>
        </w:rPr>
      </w:pPr>
      <w:r w:rsidRPr="00157E7E">
        <w:rPr>
          <w:rStyle w:val="Hyperlink"/>
        </w:rPr>
        <w:t>http://biospecimens.cancer.gov/practices/</w:t>
      </w:r>
    </w:p>
    <w:sectPr w:rsidR="006C49C7" w:rsidRPr="00157E7E" w:rsidSect="005A5F6C">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38" w:rsidRDefault="003B6938" w:rsidP="000A62DA">
      <w:r>
        <w:separator/>
      </w:r>
    </w:p>
  </w:endnote>
  <w:endnote w:type="continuationSeparator" w:id="0">
    <w:p w:rsidR="003B6938" w:rsidRDefault="003B6938" w:rsidP="000A6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fficina San ITC">
    <w:altName w:val="Officina S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DA" w:rsidRPr="00DF4EFB" w:rsidRDefault="000A62DA" w:rsidP="000A62DA">
    <w:pPr>
      <w:pStyle w:val="Footer"/>
      <w:rPr>
        <w:sz w:val="18"/>
        <w:szCs w:val="18"/>
      </w:rPr>
    </w:pPr>
    <w:r w:rsidRPr="00DF4EFB">
      <w:rPr>
        <w:sz w:val="18"/>
        <w:szCs w:val="18"/>
      </w:rPr>
      <w:t>Prepared by Marianna</w:t>
    </w:r>
    <w:r w:rsidR="0045340C">
      <w:rPr>
        <w:sz w:val="18"/>
        <w:szCs w:val="18"/>
      </w:rPr>
      <w:t xml:space="preserve"> Bledsoe, Department of Veteran</w:t>
    </w:r>
    <w:r w:rsidRPr="00DF4EFB">
      <w:rPr>
        <w:sz w:val="18"/>
        <w:szCs w:val="18"/>
      </w:rPr>
      <w:t>s Affairs</w:t>
    </w:r>
  </w:p>
  <w:p w:rsidR="000A62DA" w:rsidRPr="00DF4EFB" w:rsidRDefault="00B24C13" w:rsidP="000A62DA">
    <w:pPr>
      <w:pStyle w:val="Footer"/>
      <w:rPr>
        <w:sz w:val="18"/>
        <w:szCs w:val="18"/>
      </w:rPr>
    </w:pPr>
    <w:r>
      <w:rPr>
        <w:sz w:val="18"/>
        <w:szCs w:val="18"/>
      </w:rPr>
      <w:t>6/19/</w:t>
    </w:r>
    <w:r w:rsidR="0045340C">
      <w:rPr>
        <w:sz w:val="18"/>
        <w:szCs w:val="18"/>
      </w:rPr>
      <w:t>2012</w:t>
    </w:r>
  </w:p>
  <w:p w:rsidR="000A62DA" w:rsidRDefault="000A62DA" w:rsidP="000A62DA">
    <w:pPr>
      <w:pStyle w:val="Footer"/>
    </w:pPr>
  </w:p>
  <w:p w:rsidR="000A62DA" w:rsidRDefault="000A62DA">
    <w:pPr>
      <w:pStyle w:val="Footer"/>
    </w:pPr>
  </w:p>
  <w:p w:rsidR="000A62DA" w:rsidRDefault="000A6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38" w:rsidRDefault="003B6938" w:rsidP="000A62DA">
      <w:r>
        <w:separator/>
      </w:r>
    </w:p>
  </w:footnote>
  <w:footnote w:type="continuationSeparator" w:id="0">
    <w:p w:rsidR="003B6938" w:rsidRDefault="003B6938" w:rsidP="000A6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43827"/>
    <w:multiLevelType w:val="hybridMultilevel"/>
    <w:tmpl w:val="BBA4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B41945"/>
    <w:multiLevelType w:val="hybridMultilevel"/>
    <w:tmpl w:val="5E9CF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5830C6"/>
    <w:multiLevelType w:val="hybridMultilevel"/>
    <w:tmpl w:val="96524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8B3EE3"/>
    <w:multiLevelType w:val="hybridMultilevel"/>
    <w:tmpl w:val="23885A18"/>
    <w:lvl w:ilvl="0" w:tplc="D7149520">
      <w:start w:val="1"/>
      <w:numFmt w:val="bullet"/>
      <w:lvlText w:val="–"/>
      <w:lvlJc w:val="left"/>
      <w:pPr>
        <w:tabs>
          <w:tab w:val="num" w:pos="720"/>
        </w:tabs>
        <w:ind w:left="720" w:hanging="360"/>
      </w:pPr>
      <w:rPr>
        <w:rFonts w:ascii="Arial" w:hAnsi="Arial" w:hint="default"/>
      </w:rPr>
    </w:lvl>
    <w:lvl w:ilvl="1" w:tplc="8A6CF456">
      <w:start w:val="1"/>
      <w:numFmt w:val="bullet"/>
      <w:lvlText w:val="–"/>
      <w:lvlJc w:val="left"/>
      <w:pPr>
        <w:tabs>
          <w:tab w:val="num" w:pos="1440"/>
        </w:tabs>
        <w:ind w:left="1440" w:hanging="360"/>
      </w:pPr>
      <w:rPr>
        <w:rFonts w:ascii="Arial" w:hAnsi="Arial" w:hint="default"/>
      </w:rPr>
    </w:lvl>
    <w:lvl w:ilvl="2" w:tplc="325444D4" w:tentative="1">
      <w:start w:val="1"/>
      <w:numFmt w:val="bullet"/>
      <w:lvlText w:val="–"/>
      <w:lvlJc w:val="left"/>
      <w:pPr>
        <w:tabs>
          <w:tab w:val="num" w:pos="2160"/>
        </w:tabs>
        <w:ind w:left="2160" w:hanging="360"/>
      </w:pPr>
      <w:rPr>
        <w:rFonts w:ascii="Arial" w:hAnsi="Arial" w:hint="default"/>
      </w:rPr>
    </w:lvl>
    <w:lvl w:ilvl="3" w:tplc="FFA63514" w:tentative="1">
      <w:start w:val="1"/>
      <w:numFmt w:val="bullet"/>
      <w:lvlText w:val="–"/>
      <w:lvlJc w:val="left"/>
      <w:pPr>
        <w:tabs>
          <w:tab w:val="num" w:pos="2880"/>
        </w:tabs>
        <w:ind w:left="2880" w:hanging="360"/>
      </w:pPr>
      <w:rPr>
        <w:rFonts w:ascii="Arial" w:hAnsi="Arial" w:hint="default"/>
      </w:rPr>
    </w:lvl>
    <w:lvl w:ilvl="4" w:tplc="A7ECB154" w:tentative="1">
      <w:start w:val="1"/>
      <w:numFmt w:val="bullet"/>
      <w:lvlText w:val="–"/>
      <w:lvlJc w:val="left"/>
      <w:pPr>
        <w:tabs>
          <w:tab w:val="num" w:pos="3600"/>
        </w:tabs>
        <w:ind w:left="3600" w:hanging="360"/>
      </w:pPr>
      <w:rPr>
        <w:rFonts w:ascii="Arial" w:hAnsi="Arial" w:hint="default"/>
      </w:rPr>
    </w:lvl>
    <w:lvl w:ilvl="5" w:tplc="6A164E38" w:tentative="1">
      <w:start w:val="1"/>
      <w:numFmt w:val="bullet"/>
      <w:lvlText w:val="–"/>
      <w:lvlJc w:val="left"/>
      <w:pPr>
        <w:tabs>
          <w:tab w:val="num" w:pos="4320"/>
        </w:tabs>
        <w:ind w:left="4320" w:hanging="360"/>
      </w:pPr>
      <w:rPr>
        <w:rFonts w:ascii="Arial" w:hAnsi="Arial" w:hint="default"/>
      </w:rPr>
    </w:lvl>
    <w:lvl w:ilvl="6" w:tplc="38D4A8BA" w:tentative="1">
      <w:start w:val="1"/>
      <w:numFmt w:val="bullet"/>
      <w:lvlText w:val="–"/>
      <w:lvlJc w:val="left"/>
      <w:pPr>
        <w:tabs>
          <w:tab w:val="num" w:pos="5040"/>
        </w:tabs>
        <w:ind w:left="5040" w:hanging="360"/>
      </w:pPr>
      <w:rPr>
        <w:rFonts w:ascii="Arial" w:hAnsi="Arial" w:hint="default"/>
      </w:rPr>
    </w:lvl>
    <w:lvl w:ilvl="7" w:tplc="5E2400EC" w:tentative="1">
      <w:start w:val="1"/>
      <w:numFmt w:val="bullet"/>
      <w:lvlText w:val="–"/>
      <w:lvlJc w:val="left"/>
      <w:pPr>
        <w:tabs>
          <w:tab w:val="num" w:pos="5760"/>
        </w:tabs>
        <w:ind w:left="5760" w:hanging="360"/>
      </w:pPr>
      <w:rPr>
        <w:rFonts w:ascii="Arial" w:hAnsi="Arial" w:hint="default"/>
      </w:rPr>
    </w:lvl>
    <w:lvl w:ilvl="8" w:tplc="BB6230F2" w:tentative="1">
      <w:start w:val="1"/>
      <w:numFmt w:val="bullet"/>
      <w:lvlText w:val="–"/>
      <w:lvlJc w:val="left"/>
      <w:pPr>
        <w:tabs>
          <w:tab w:val="num" w:pos="6480"/>
        </w:tabs>
        <w:ind w:left="6480" w:hanging="360"/>
      </w:pPr>
      <w:rPr>
        <w:rFonts w:ascii="Arial" w:hAnsi="Arial" w:hint="default"/>
      </w:rPr>
    </w:lvl>
  </w:abstractNum>
  <w:abstractNum w:abstractNumId="4">
    <w:nsid w:val="775F5BD8"/>
    <w:multiLevelType w:val="hybridMultilevel"/>
    <w:tmpl w:val="8432F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745501"/>
    <w:multiLevelType w:val="hybridMultilevel"/>
    <w:tmpl w:val="835623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97666"/>
    <w:rsid w:val="0006350C"/>
    <w:rsid w:val="00076536"/>
    <w:rsid w:val="000A62DA"/>
    <w:rsid w:val="00157E7E"/>
    <w:rsid w:val="00183462"/>
    <w:rsid w:val="001E0C07"/>
    <w:rsid w:val="001F09B1"/>
    <w:rsid w:val="001F3CA2"/>
    <w:rsid w:val="00220DFB"/>
    <w:rsid w:val="00221C9E"/>
    <w:rsid w:val="003077F8"/>
    <w:rsid w:val="00350EC7"/>
    <w:rsid w:val="003B6938"/>
    <w:rsid w:val="003C07D8"/>
    <w:rsid w:val="003C2CA7"/>
    <w:rsid w:val="003D2A91"/>
    <w:rsid w:val="00444C06"/>
    <w:rsid w:val="0045340C"/>
    <w:rsid w:val="00497666"/>
    <w:rsid w:val="004A063B"/>
    <w:rsid w:val="004A06C9"/>
    <w:rsid w:val="004F4A2E"/>
    <w:rsid w:val="00506AF2"/>
    <w:rsid w:val="00536119"/>
    <w:rsid w:val="0056763D"/>
    <w:rsid w:val="005A5F6C"/>
    <w:rsid w:val="005C2731"/>
    <w:rsid w:val="00667540"/>
    <w:rsid w:val="006C49C7"/>
    <w:rsid w:val="006D057A"/>
    <w:rsid w:val="00752F8A"/>
    <w:rsid w:val="0076356B"/>
    <w:rsid w:val="00847F7E"/>
    <w:rsid w:val="008A6379"/>
    <w:rsid w:val="009613D2"/>
    <w:rsid w:val="009C62C0"/>
    <w:rsid w:val="00A77928"/>
    <w:rsid w:val="00AE3E4F"/>
    <w:rsid w:val="00B102F8"/>
    <w:rsid w:val="00B24C13"/>
    <w:rsid w:val="00B37BFA"/>
    <w:rsid w:val="00B9173F"/>
    <w:rsid w:val="00BA1C7F"/>
    <w:rsid w:val="00BA1EE1"/>
    <w:rsid w:val="00D111BB"/>
    <w:rsid w:val="00D33BEF"/>
    <w:rsid w:val="00EF569A"/>
    <w:rsid w:val="00F00322"/>
    <w:rsid w:val="00F24939"/>
    <w:rsid w:val="00F9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939"/>
    <w:pPr>
      <w:autoSpaceDE w:val="0"/>
      <w:autoSpaceDN w:val="0"/>
      <w:adjustRightInd w:val="0"/>
    </w:pPr>
    <w:rPr>
      <w:color w:val="000000"/>
      <w:sz w:val="24"/>
      <w:szCs w:val="24"/>
    </w:rPr>
  </w:style>
  <w:style w:type="character" w:styleId="Hyperlink">
    <w:name w:val="Hyperlink"/>
    <w:basedOn w:val="DefaultParagraphFont"/>
    <w:rsid w:val="00F24939"/>
    <w:rPr>
      <w:color w:val="0000FF"/>
      <w:u w:val="single"/>
    </w:rPr>
  </w:style>
  <w:style w:type="character" w:customStyle="1" w:styleId="copyblack1">
    <w:name w:val="copy_black1"/>
    <w:basedOn w:val="DefaultParagraphFont"/>
    <w:rsid w:val="00F24939"/>
    <w:rPr>
      <w:rFonts w:ascii="Arial" w:hAnsi="Arial" w:cs="Arial" w:hint="default"/>
      <w:b w:val="0"/>
      <w:bCs w:val="0"/>
      <w:color w:val="000000"/>
      <w:spacing w:val="0"/>
      <w:sz w:val="21"/>
      <w:szCs w:val="21"/>
    </w:rPr>
  </w:style>
  <w:style w:type="paragraph" w:customStyle="1" w:styleId="CM48">
    <w:name w:val="CM48"/>
    <w:basedOn w:val="Default"/>
    <w:next w:val="Default"/>
    <w:rsid w:val="006D057A"/>
    <w:pPr>
      <w:spacing w:after="420"/>
    </w:pPr>
    <w:rPr>
      <w:rFonts w:ascii="Officina San ITC" w:hAnsi="Officina San ITC"/>
      <w:color w:val="auto"/>
    </w:rPr>
  </w:style>
  <w:style w:type="paragraph" w:customStyle="1" w:styleId="CM49">
    <w:name w:val="CM49"/>
    <w:basedOn w:val="Default"/>
    <w:next w:val="Default"/>
    <w:rsid w:val="006D057A"/>
    <w:pPr>
      <w:spacing w:after="1420"/>
    </w:pPr>
    <w:rPr>
      <w:rFonts w:ascii="Officina San ITC" w:hAnsi="Officina San ITC"/>
      <w:color w:val="auto"/>
    </w:rPr>
  </w:style>
  <w:style w:type="character" w:customStyle="1" w:styleId="EmailStyle20">
    <w:name w:val="EmailStyle201"/>
    <w:aliases w:val="EmailStyle201"/>
    <w:basedOn w:val="DefaultParagraphFont"/>
    <w:semiHidden/>
    <w:personal/>
    <w:personalCompose/>
    <w:rsid w:val="00EF569A"/>
    <w:rPr>
      <w:rFonts w:ascii="Arial" w:hAnsi="Arial" w:cs="Arial"/>
      <w:color w:val="auto"/>
      <w:sz w:val="20"/>
      <w:szCs w:val="20"/>
    </w:rPr>
  </w:style>
  <w:style w:type="paragraph" w:styleId="E-mailSignature">
    <w:name w:val="E-mail Signature"/>
    <w:basedOn w:val="Normal"/>
    <w:rsid w:val="00EF569A"/>
  </w:style>
  <w:style w:type="paragraph" w:styleId="BalloonText">
    <w:name w:val="Balloon Text"/>
    <w:basedOn w:val="Normal"/>
    <w:semiHidden/>
    <w:rsid w:val="00F00322"/>
    <w:rPr>
      <w:rFonts w:ascii="Tahoma" w:hAnsi="Tahoma" w:cs="Tahoma"/>
      <w:sz w:val="16"/>
      <w:szCs w:val="16"/>
    </w:rPr>
  </w:style>
  <w:style w:type="paragraph" w:styleId="Header">
    <w:name w:val="header"/>
    <w:basedOn w:val="Normal"/>
    <w:link w:val="HeaderChar"/>
    <w:rsid w:val="000A62DA"/>
    <w:pPr>
      <w:tabs>
        <w:tab w:val="center" w:pos="4680"/>
        <w:tab w:val="right" w:pos="9360"/>
      </w:tabs>
    </w:pPr>
  </w:style>
  <w:style w:type="character" w:customStyle="1" w:styleId="HeaderChar">
    <w:name w:val="Header Char"/>
    <w:basedOn w:val="DefaultParagraphFont"/>
    <w:link w:val="Header"/>
    <w:rsid w:val="000A62DA"/>
    <w:rPr>
      <w:sz w:val="24"/>
      <w:szCs w:val="24"/>
    </w:rPr>
  </w:style>
  <w:style w:type="paragraph" w:styleId="Footer">
    <w:name w:val="footer"/>
    <w:basedOn w:val="Normal"/>
    <w:link w:val="FooterChar"/>
    <w:uiPriority w:val="99"/>
    <w:rsid w:val="000A62DA"/>
    <w:pPr>
      <w:tabs>
        <w:tab w:val="center" w:pos="4680"/>
        <w:tab w:val="right" w:pos="9360"/>
      </w:tabs>
    </w:pPr>
  </w:style>
  <w:style w:type="character" w:customStyle="1" w:styleId="FooterChar">
    <w:name w:val="Footer Char"/>
    <w:basedOn w:val="DefaultParagraphFont"/>
    <w:link w:val="Footer"/>
    <w:uiPriority w:val="99"/>
    <w:rsid w:val="000A62DA"/>
    <w:rPr>
      <w:sz w:val="24"/>
      <w:szCs w:val="24"/>
    </w:rPr>
  </w:style>
  <w:style w:type="character" w:styleId="FollowedHyperlink">
    <w:name w:val="FollowedHyperlink"/>
    <w:basedOn w:val="DefaultParagraphFont"/>
    <w:rsid w:val="004A06C9"/>
    <w:rPr>
      <w:color w:val="800080"/>
      <w:u w:val="single"/>
    </w:rPr>
  </w:style>
</w:styles>
</file>

<file path=word/webSettings.xml><?xml version="1.0" encoding="utf-8"?>
<w:webSettings xmlns:r="http://schemas.openxmlformats.org/officeDocument/2006/relationships" xmlns:w="http://schemas.openxmlformats.org/wordprocessingml/2006/main">
  <w:divs>
    <w:div w:id="132716474">
      <w:bodyDiv w:val="1"/>
      <w:marLeft w:val="0"/>
      <w:marRight w:val="0"/>
      <w:marTop w:val="0"/>
      <w:marBottom w:val="0"/>
      <w:divBdr>
        <w:top w:val="none" w:sz="0" w:space="0" w:color="auto"/>
        <w:left w:val="none" w:sz="0" w:space="0" w:color="auto"/>
        <w:bottom w:val="none" w:sz="0" w:space="0" w:color="auto"/>
        <w:right w:val="none" w:sz="0" w:space="0" w:color="auto"/>
      </w:divBdr>
    </w:div>
    <w:div w:id="14426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me.gov/27026588" TargetMode="External"/><Relationship Id="rId3" Type="http://schemas.openxmlformats.org/officeDocument/2006/relationships/settings" Target="settings.xml"/><Relationship Id="rId7" Type="http://schemas.openxmlformats.org/officeDocument/2006/relationships/hyperlink" Target="http://www.hhs.gov/ohrp/sach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nome.gov/Pages/PolicyEthics/GeneticDiscrimination/GINAInfo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Useful Resources and Tools Related to Human Specimen Banks and Use of Human Specimens and Data in Research</vt:lpstr>
    </vt:vector>
  </TitlesOfParts>
  <Company>OD</Company>
  <LinksUpToDate>false</LinksUpToDate>
  <CharactersWithSpaces>2627</CharactersWithSpaces>
  <SharedDoc>false</SharedDoc>
  <HLinks>
    <vt:vector size="24" baseType="variant">
      <vt:variant>
        <vt:i4>8257635</vt:i4>
      </vt:variant>
      <vt:variant>
        <vt:i4>9</vt:i4>
      </vt:variant>
      <vt:variant>
        <vt:i4>0</vt:i4>
      </vt:variant>
      <vt:variant>
        <vt:i4>5</vt:i4>
      </vt:variant>
      <vt:variant>
        <vt:lpwstr>http://www.genome.gov/Pages/PolicyEthics/GeneticDiscrimination/GINAInfoDoc.pdf</vt:lpwstr>
      </vt:variant>
      <vt:variant>
        <vt:lpwstr/>
      </vt:variant>
      <vt:variant>
        <vt:i4>2687010</vt:i4>
      </vt:variant>
      <vt:variant>
        <vt:i4>6</vt:i4>
      </vt:variant>
      <vt:variant>
        <vt:i4>0</vt:i4>
      </vt:variant>
      <vt:variant>
        <vt:i4>5</vt:i4>
      </vt:variant>
      <vt:variant>
        <vt:lpwstr>http://www.genome.gov/27026588</vt:lpwstr>
      </vt:variant>
      <vt:variant>
        <vt:lpwstr/>
      </vt:variant>
      <vt:variant>
        <vt:i4>327749</vt:i4>
      </vt:variant>
      <vt:variant>
        <vt:i4>3</vt:i4>
      </vt:variant>
      <vt:variant>
        <vt:i4>0</vt:i4>
      </vt:variant>
      <vt:variant>
        <vt:i4>5</vt:i4>
      </vt:variant>
      <vt:variant>
        <vt:lpwstr>http://www.primr.org/PublicPolicy.aspx?id=68</vt:lpwstr>
      </vt:variant>
      <vt:variant>
        <vt:lpwstr/>
      </vt:variant>
      <vt:variant>
        <vt:i4>6946860</vt:i4>
      </vt:variant>
      <vt:variant>
        <vt:i4>0</vt:i4>
      </vt:variant>
      <vt:variant>
        <vt:i4>0</vt:i4>
      </vt:variant>
      <vt:variant>
        <vt:i4>5</vt:i4>
      </vt:variant>
      <vt:variant>
        <vt:lpwstr>http://www.hhs.gov/ohrp/sachrp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Resources and Tools Related to Human Specimen Banks and Use of Human Specimens and Data in Research</dc:title>
  <dc:subject/>
  <dc:creator>BledsoeM</dc:creator>
  <cp:keywords/>
  <cp:lastModifiedBy>vhacobledsm</cp:lastModifiedBy>
  <cp:revision>2</cp:revision>
  <cp:lastPrinted>2009-10-05T15:42:00Z</cp:lastPrinted>
  <dcterms:created xsi:type="dcterms:W3CDTF">2012-06-22T16:38:00Z</dcterms:created>
  <dcterms:modified xsi:type="dcterms:W3CDTF">2012-06-22T16:38:00Z</dcterms:modified>
</cp:coreProperties>
</file>