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88AAB" w14:textId="77777777" w:rsidR="007058B5" w:rsidRDefault="007058B5" w:rsidP="007058B5">
      <w:pPr>
        <w:pStyle w:val="Default"/>
      </w:pPr>
    </w:p>
    <w:p w14:paraId="71946AB3" w14:textId="36EAD2B7" w:rsidR="007058B5" w:rsidRPr="007058B5" w:rsidRDefault="007058B5" w:rsidP="007058B5">
      <w:pPr>
        <w:jc w:val="center"/>
        <w:rPr>
          <w:b/>
          <w:bCs/>
          <w:sz w:val="23"/>
          <w:szCs w:val="23"/>
        </w:rPr>
      </w:pPr>
      <w:r>
        <w:t xml:space="preserve"> </w:t>
      </w:r>
      <w:r>
        <w:rPr>
          <w:b/>
          <w:bCs/>
          <w:sz w:val="23"/>
          <w:szCs w:val="23"/>
        </w:rPr>
        <w:t>DEPARTMENT OF VETERANS AFFAIRS</w:t>
      </w:r>
    </w:p>
    <w:p w14:paraId="7C7269D8" w14:textId="69A29A48" w:rsidR="007058B5" w:rsidRDefault="007058B5" w:rsidP="007058B5">
      <w:pPr>
        <w:jc w:val="center"/>
        <w:rPr>
          <w:b/>
          <w:bCs/>
          <w:sz w:val="23"/>
          <w:szCs w:val="23"/>
        </w:rPr>
      </w:pPr>
      <w:r>
        <w:t xml:space="preserve"> </w:t>
      </w:r>
      <w:r>
        <w:rPr>
          <w:b/>
          <w:bCs/>
          <w:sz w:val="23"/>
          <w:szCs w:val="23"/>
        </w:rPr>
        <w:t>FIVE YEAR PLAN TO ELIMINATE OR REDUCE RESEARCH CONDUCTED USING CANINES, FELINES OR NON-HUMAN PRIMATES</w:t>
      </w:r>
    </w:p>
    <w:p w14:paraId="0C781864" w14:textId="77777777" w:rsidR="007058B5" w:rsidRDefault="007058B5" w:rsidP="007058B5">
      <w:pPr>
        <w:pStyle w:val="Default"/>
      </w:pPr>
    </w:p>
    <w:p w14:paraId="764C7596" w14:textId="77777777" w:rsidR="007058B5" w:rsidRDefault="007058B5" w:rsidP="007058B5">
      <w:pPr>
        <w:pStyle w:val="Default"/>
        <w:rPr>
          <w:sz w:val="23"/>
          <w:szCs w:val="23"/>
        </w:rPr>
      </w:pPr>
      <w:r>
        <w:t xml:space="preserve"> </w:t>
      </w:r>
      <w:r>
        <w:rPr>
          <w:sz w:val="23"/>
          <w:szCs w:val="23"/>
        </w:rPr>
        <w:t xml:space="preserve">As required by P.L. 116-94, § 249(e), this report outlines the five-year plan of the Department of Veterans Affairs (VA) to eliminate or reduce the use of canines, felines, and non-human primates in VA research. The plan incorporates recommendations from the National Academy of Science, Engineering and Medicine’s review of the use of canines in VA research and proposes to coordinate VA efforts with those of other Federal agencies. </w:t>
      </w:r>
    </w:p>
    <w:p w14:paraId="7C778A7F" w14:textId="77777777" w:rsidR="007058B5" w:rsidRDefault="007058B5" w:rsidP="007058B5">
      <w:pPr>
        <w:pStyle w:val="Default"/>
        <w:rPr>
          <w:b/>
          <w:bCs/>
          <w:sz w:val="23"/>
          <w:szCs w:val="23"/>
        </w:rPr>
      </w:pPr>
    </w:p>
    <w:p w14:paraId="6E4803B6" w14:textId="5FA29D40" w:rsidR="007058B5" w:rsidRDefault="007058B5" w:rsidP="007058B5">
      <w:pPr>
        <w:pStyle w:val="Default"/>
        <w:rPr>
          <w:sz w:val="23"/>
          <w:szCs w:val="23"/>
        </w:rPr>
      </w:pPr>
      <w:r>
        <w:rPr>
          <w:b/>
          <w:bCs/>
          <w:sz w:val="23"/>
          <w:szCs w:val="23"/>
        </w:rPr>
        <w:t xml:space="preserve">Introduction: </w:t>
      </w:r>
    </w:p>
    <w:p w14:paraId="252BFA11" w14:textId="77777777" w:rsidR="007058B5" w:rsidRDefault="007058B5" w:rsidP="007058B5">
      <w:pPr>
        <w:pStyle w:val="Default"/>
        <w:rPr>
          <w:sz w:val="23"/>
          <w:szCs w:val="23"/>
        </w:rPr>
      </w:pPr>
      <w:r>
        <w:rPr>
          <w:sz w:val="23"/>
          <w:szCs w:val="23"/>
        </w:rPr>
        <w:t>1) Summary of current use of canines, felines, and non-human primates in VA research and trends over the past 10 years:</w:t>
      </w:r>
    </w:p>
    <w:p w14:paraId="5BC33FA6" w14:textId="23251254" w:rsidR="007058B5" w:rsidRDefault="007058B5" w:rsidP="007058B5">
      <w:pPr>
        <w:pStyle w:val="Default"/>
        <w:ind w:left="720" w:firstLine="60"/>
        <w:rPr>
          <w:sz w:val="23"/>
          <w:szCs w:val="23"/>
        </w:rPr>
      </w:pPr>
      <w:r>
        <w:rPr>
          <w:sz w:val="23"/>
          <w:szCs w:val="23"/>
        </w:rPr>
        <w:t xml:space="preserve">a. The annual numbers of canines, felines, and non-human primates (NHPs) involved in VA research vary a great deal, and unpredictably, from year to year, depending on the specific research projects funded and on the particular new research questions that need to be answered. </w:t>
      </w:r>
    </w:p>
    <w:p w14:paraId="6C6D97BF" w14:textId="77777777" w:rsidR="007058B5" w:rsidRDefault="007058B5" w:rsidP="007058B5">
      <w:pPr>
        <w:pStyle w:val="Default"/>
        <w:ind w:left="720"/>
        <w:rPr>
          <w:sz w:val="23"/>
          <w:szCs w:val="23"/>
        </w:rPr>
      </w:pPr>
      <w:r>
        <w:rPr>
          <w:sz w:val="23"/>
          <w:szCs w:val="23"/>
        </w:rPr>
        <w:t xml:space="preserve">b. Over the past decade the numbers have generally fallen by 50-95% from the numbers used 10 years ago, and have averaged fewer than 50 felines, 50 NHPs, and 200 canines per year (see table below). </w:t>
      </w:r>
    </w:p>
    <w:p w14:paraId="43636F6D" w14:textId="77777777" w:rsidR="007058B5" w:rsidRDefault="007058B5" w:rsidP="007058B5">
      <w:pPr>
        <w:pStyle w:val="Default"/>
        <w:ind w:left="720"/>
        <w:rPr>
          <w:sz w:val="23"/>
          <w:szCs w:val="23"/>
        </w:rPr>
      </w:pPr>
      <w:r>
        <w:rPr>
          <w:sz w:val="23"/>
          <w:szCs w:val="23"/>
        </w:rPr>
        <w:t xml:space="preserve">c. The reduction in sensitive species research is primarily due to the gradual development of new models using rodents or agricultural animals that could replace sensitive species in studies, a strategy that VA continues to implement whenever possible (see item 7 below in “Strategies to be employed”). </w:t>
      </w:r>
    </w:p>
    <w:p w14:paraId="58B677F2" w14:textId="77777777" w:rsidR="007058B5" w:rsidRDefault="007058B5" w:rsidP="007058B5">
      <w:pPr>
        <w:pStyle w:val="Default"/>
        <w:rPr>
          <w:sz w:val="23"/>
          <w:szCs w:val="23"/>
        </w:rPr>
      </w:pPr>
    </w:p>
    <w:p w14:paraId="5C73B127" w14:textId="77777777" w:rsidR="007058B5" w:rsidRPr="007058B5" w:rsidRDefault="007058B5" w:rsidP="007058B5">
      <w:pPr>
        <w:pStyle w:val="Title"/>
        <w:kinsoku w:val="0"/>
        <w:overflowPunct w:val="0"/>
        <w:rPr>
          <w:rFonts w:ascii="Times New Roman" w:hAnsi="Times New Roman" w:cs="Times New Roman"/>
          <w:sz w:val="4"/>
          <w:szCs w:val="4"/>
        </w:rPr>
      </w:pPr>
      <w:r>
        <w:tab/>
      </w:r>
      <w:r>
        <w:tab/>
      </w:r>
    </w:p>
    <w:tbl>
      <w:tblPr>
        <w:tblW w:w="0" w:type="auto"/>
        <w:tblInd w:w="1698" w:type="dxa"/>
        <w:tblLayout w:type="fixed"/>
        <w:tblCellMar>
          <w:left w:w="0" w:type="dxa"/>
          <w:right w:w="0" w:type="dxa"/>
        </w:tblCellMar>
        <w:tblLook w:val="0000" w:firstRow="0" w:lastRow="0" w:firstColumn="0" w:lastColumn="0" w:noHBand="0" w:noVBand="0"/>
      </w:tblPr>
      <w:tblGrid>
        <w:gridCol w:w="1075"/>
        <w:gridCol w:w="1170"/>
        <w:gridCol w:w="1710"/>
        <w:gridCol w:w="1440"/>
      </w:tblGrid>
      <w:tr w:rsidR="007058B5" w:rsidRPr="007058B5" w14:paraId="2F50BAC4"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5D5FF99C" w14:textId="77777777" w:rsidR="007058B5" w:rsidRPr="007058B5" w:rsidRDefault="007058B5" w:rsidP="007058B5">
            <w:pPr>
              <w:kinsoku w:val="0"/>
              <w:overflowPunct w:val="0"/>
              <w:autoSpaceDE w:val="0"/>
              <w:autoSpaceDN w:val="0"/>
              <w:adjustRightInd w:val="0"/>
              <w:spacing w:after="0" w:line="233" w:lineRule="exact"/>
              <w:ind w:left="298"/>
              <w:rPr>
                <w:rFonts w:ascii="Arial" w:hAnsi="Arial" w:cs="Arial"/>
                <w:b/>
                <w:bCs/>
              </w:rPr>
            </w:pPr>
            <w:r w:rsidRPr="007058B5">
              <w:rPr>
                <w:rFonts w:ascii="Arial" w:hAnsi="Arial" w:cs="Arial"/>
                <w:b/>
                <w:bCs/>
              </w:rPr>
              <w:t>Year</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45F7CAB6"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b/>
                <w:bCs/>
              </w:rPr>
            </w:pPr>
            <w:r w:rsidRPr="007058B5">
              <w:rPr>
                <w:rFonts w:ascii="Arial" w:hAnsi="Arial" w:cs="Arial"/>
                <w:b/>
                <w:bCs/>
              </w:rPr>
              <w:t>Felines</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4E287751" w14:textId="77777777" w:rsidR="007058B5" w:rsidRPr="007058B5" w:rsidRDefault="007058B5" w:rsidP="007058B5">
            <w:pPr>
              <w:kinsoku w:val="0"/>
              <w:overflowPunct w:val="0"/>
              <w:autoSpaceDE w:val="0"/>
              <w:autoSpaceDN w:val="0"/>
              <w:adjustRightInd w:val="0"/>
              <w:spacing w:after="0" w:line="233" w:lineRule="exact"/>
              <w:ind w:left="406" w:right="397"/>
              <w:jc w:val="center"/>
              <w:rPr>
                <w:rFonts w:ascii="Arial" w:hAnsi="Arial" w:cs="Arial"/>
                <w:b/>
                <w:bCs/>
              </w:rPr>
            </w:pPr>
            <w:r w:rsidRPr="007058B5">
              <w:rPr>
                <w:rFonts w:ascii="Arial" w:hAnsi="Arial" w:cs="Arial"/>
                <w:b/>
                <w:bCs/>
              </w:rPr>
              <w:t>Canines</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0176380B" w14:textId="77777777" w:rsidR="007058B5" w:rsidRPr="007058B5" w:rsidRDefault="007058B5" w:rsidP="007058B5">
            <w:pPr>
              <w:kinsoku w:val="0"/>
              <w:overflowPunct w:val="0"/>
              <w:autoSpaceDE w:val="0"/>
              <w:autoSpaceDN w:val="0"/>
              <w:adjustRightInd w:val="0"/>
              <w:spacing w:after="0" w:line="233" w:lineRule="exact"/>
              <w:ind w:left="405" w:right="398"/>
              <w:jc w:val="center"/>
              <w:rPr>
                <w:rFonts w:ascii="Arial" w:hAnsi="Arial" w:cs="Arial"/>
                <w:b/>
                <w:bCs/>
              </w:rPr>
            </w:pPr>
            <w:r w:rsidRPr="007058B5">
              <w:rPr>
                <w:rFonts w:ascii="Arial" w:hAnsi="Arial" w:cs="Arial"/>
                <w:b/>
                <w:bCs/>
              </w:rPr>
              <w:t>NHPs</w:t>
            </w:r>
          </w:p>
        </w:tc>
      </w:tr>
      <w:tr w:rsidR="007058B5" w:rsidRPr="007058B5" w14:paraId="4990D27E" w14:textId="77777777">
        <w:trPr>
          <w:trHeight w:val="253"/>
        </w:trPr>
        <w:tc>
          <w:tcPr>
            <w:tcW w:w="1075" w:type="dxa"/>
            <w:tcBorders>
              <w:top w:val="single" w:sz="4" w:space="0" w:color="000000"/>
              <w:left w:val="single" w:sz="4" w:space="0" w:color="000000"/>
              <w:bottom w:val="single" w:sz="4" w:space="0" w:color="000000"/>
              <w:right w:val="single" w:sz="4" w:space="0" w:color="000000"/>
            </w:tcBorders>
          </w:tcPr>
          <w:p w14:paraId="4719B098" w14:textId="77777777" w:rsidR="007058B5" w:rsidRPr="007058B5" w:rsidRDefault="007058B5" w:rsidP="007058B5">
            <w:pPr>
              <w:kinsoku w:val="0"/>
              <w:overflowPunct w:val="0"/>
              <w:autoSpaceDE w:val="0"/>
              <w:autoSpaceDN w:val="0"/>
              <w:adjustRightInd w:val="0"/>
              <w:spacing w:before="1" w:after="0" w:line="233" w:lineRule="exact"/>
              <w:ind w:left="292"/>
              <w:rPr>
                <w:rFonts w:ascii="Arial" w:hAnsi="Arial" w:cs="Arial"/>
              </w:rPr>
            </w:pPr>
            <w:r w:rsidRPr="007058B5">
              <w:rPr>
                <w:rFonts w:ascii="Arial" w:hAnsi="Arial" w:cs="Arial"/>
              </w:rPr>
              <w:t>2009</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3F988FD2" w14:textId="77777777" w:rsidR="007058B5" w:rsidRPr="007058B5" w:rsidRDefault="007058B5" w:rsidP="007058B5">
            <w:pPr>
              <w:kinsoku w:val="0"/>
              <w:overflowPunct w:val="0"/>
              <w:autoSpaceDE w:val="0"/>
              <w:autoSpaceDN w:val="0"/>
              <w:adjustRightInd w:val="0"/>
              <w:spacing w:before="1" w:after="0" w:line="233" w:lineRule="exact"/>
              <w:ind w:left="184" w:right="176"/>
              <w:jc w:val="center"/>
              <w:rPr>
                <w:rFonts w:ascii="Arial" w:hAnsi="Arial" w:cs="Arial"/>
              </w:rPr>
            </w:pPr>
            <w:r w:rsidRPr="007058B5">
              <w:rPr>
                <w:rFonts w:ascii="Arial" w:hAnsi="Arial" w:cs="Arial"/>
              </w:rPr>
              <w:t>105</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5AD2504B" w14:textId="77777777" w:rsidR="007058B5" w:rsidRPr="007058B5" w:rsidRDefault="007058B5" w:rsidP="007058B5">
            <w:pPr>
              <w:kinsoku w:val="0"/>
              <w:overflowPunct w:val="0"/>
              <w:autoSpaceDE w:val="0"/>
              <w:autoSpaceDN w:val="0"/>
              <w:adjustRightInd w:val="0"/>
              <w:spacing w:before="1" w:after="0" w:line="233" w:lineRule="exact"/>
              <w:ind w:left="405" w:right="397"/>
              <w:jc w:val="center"/>
              <w:rPr>
                <w:rFonts w:ascii="Arial" w:hAnsi="Arial" w:cs="Arial"/>
              </w:rPr>
            </w:pPr>
            <w:r w:rsidRPr="007058B5">
              <w:rPr>
                <w:rFonts w:ascii="Arial" w:hAnsi="Arial" w:cs="Arial"/>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515F2164" w14:textId="77777777" w:rsidR="007058B5" w:rsidRPr="007058B5" w:rsidRDefault="007058B5" w:rsidP="007058B5">
            <w:pPr>
              <w:kinsoku w:val="0"/>
              <w:overflowPunct w:val="0"/>
              <w:autoSpaceDE w:val="0"/>
              <w:autoSpaceDN w:val="0"/>
              <w:adjustRightInd w:val="0"/>
              <w:spacing w:before="1" w:after="0" w:line="233" w:lineRule="exact"/>
              <w:ind w:left="405" w:right="396"/>
              <w:jc w:val="center"/>
              <w:rPr>
                <w:rFonts w:ascii="Arial" w:hAnsi="Arial" w:cs="Arial"/>
              </w:rPr>
            </w:pPr>
            <w:r w:rsidRPr="007058B5">
              <w:rPr>
                <w:rFonts w:ascii="Arial" w:hAnsi="Arial" w:cs="Arial"/>
              </w:rPr>
              <w:t>86</w:t>
            </w:r>
          </w:p>
        </w:tc>
      </w:tr>
      <w:tr w:rsidR="007058B5" w:rsidRPr="007058B5" w14:paraId="3A24ADA8"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53E80B75" w14:textId="77777777" w:rsidR="007058B5" w:rsidRPr="007058B5" w:rsidRDefault="007058B5" w:rsidP="007058B5">
            <w:pPr>
              <w:kinsoku w:val="0"/>
              <w:overflowPunct w:val="0"/>
              <w:autoSpaceDE w:val="0"/>
              <w:autoSpaceDN w:val="0"/>
              <w:adjustRightInd w:val="0"/>
              <w:spacing w:after="0" w:line="233" w:lineRule="exact"/>
              <w:ind w:left="292"/>
              <w:rPr>
                <w:rFonts w:ascii="Arial" w:hAnsi="Arial" w:cs="Arial"/>
              </w:rPr>
            </w:pPr>
            <w:r w:rsidRPr="007058B5">
              <w:rPr>
                <w:rFonts w:ascii="Arial" w:hAnsi="Arial" w:cs="Arial"/>
              </w:rPr>
              <w:t>2010</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080C5FA0"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rPr>
            </w:pPr>
            <w:r w:rsidRPr="007058B5">
              <w:rPr>
                <w:rFonts w:ascii="Arial" w:hAnsi="Arial" w:cs="Arial"/>
              </w:rPr>
              <w:t>77</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5DBD219D" w14:textId="77777777" w:rsidR="007058B5" w:rsidRPr="007058B5" w:rsidRDefault="007058B5" w:rsidP="007058B5">
            <w:pPr>
              <w:kinsoku w:val="0"/>
              <w:overflowPunct w:val="0"/>
              <w:autoSpaceDE w:val="0"/>
              <w:autoSpaceDN w:val="0"/>
              <w:adjustRightInd w:val="0"/>
              <w:spacing w:after="0" w:line="233" w:lineRule="exact"/>
              <w:ind w:left="405" w:right="397"/>
              <w:jc w:val="center"/>
              <w:rPr>
                <w:rFonts w:ascii="Arial" w:hAnsi="Arial" w:cs="Arial"/>
              </w:rPr>
            </w:pPr>
            <w:r w:rsidRPr="007058B5">
              <w:rPr>
                <w:rFonts w:ascii="Arial" w:hAnsi="Arial" w:cs="Arial"/>
              </w:rPr>
              <w:t>217</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3BBF6F7C" w14:textId="77777777" w:rsidR="007058B5" w:rsidRPr="007058B5" w:rsidRDefault="007058B5" w:rsidP="007058B5">
            <w:pPr>
              <w:kinsoku w:val="0"/>
              <w:overflowPunct w:val="0"/>
              <w:autoSpaceDE w:val="0"/>
              <w:autoSpaceDN w:val="0"/>
              <w:adjustRightInd w:val="0"/>
              <w:spacing w:after="0" w:line="233" w:lineRule="exact"/>
              <w:ind w:left="405" w:right="396"/>
              <w:jc w:val="center"/>
              <w:rPr>
                <w:rFonts w:ascii="Arial" w:hAnsi="Arial" w:cs="Arial"/>
              </w:rPr>
            </w:pPr>
            <w:r w:rsidRPr="007058B5">
              <w:rPr>
                <w:rFonts w:ascii="Arial" w:hAnsi="Arial" w:cs="Arial"/>
              </w:rPr>
              <w:t>72</w:t>
            </w:r>
          </w:p>
        </w:tc>
      </w:tr>
      <w:tr w:rsidR="007058B5" w:rsidRPr="007058B5" w14:paraId="3F35976B"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2C26D60E" w14:textId="77777777" w:rsidR="007058B5" w:rsidRPr="007058B5" w:rsidRDefault="007058B5" w:rsidP="007058B5">
            <w:pPr>
              <w:kinsoku w:val="0"/>
              <w:overflowPunct w:val="0"/>
              <w:autoSpaceDE w:val="0"/>
              <w:autoSpaceDN w:val="0"/>
              <w:adjustRightInd w:val="0"/>
              <w:spacing w:after="0" w:line="233" w:lineRule="exact"/>
              <w:ind w:left="292"/>
              <w:rPr>
                <w:rFonts w:ascii="Arial" w:hAnsi="Arial" w:cs="Arial"/>
              </w:rPr>
            </w:pPr>
            <w:r w:rsidRPr="007058B5">
              <w:rPr>
                <w:rFonts w:ascii="Arial" w:hAnsi="Arial" w:cs="Arial"/>
              </w:rPr>
              <w:t>2011</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68EEB0A0"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rPr>
            </w:pPr>
            <w:r w:rsidRPr="007058B5">
              <w:rPr>
                <w:rFonts w:ascii="Arial" w:hAnsi="Arial" w:cs="Arial"/>
              </w:rPr>
              <w:t>104</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27FAC64A" w14:textId="77777777" w:rsidR="007058B5" w:rsidRPr="007058B5" w:rsidRDefault="007058B5" w:rsidP="007058B5">
            <w:pPr>
              <w:kinsoku w:val="0"/>
              <w:overflowPunct w:val="0"/>
              <w:autoSpaceDE w:val="0"/>
              <w:autoSpaceDN w:val="0"/>
              <w:adjustRightInd w:val="0"/>
              <w:spacing w:after="0" w:line="233" w:lineRule="exact"/>
              <w:ind w:left="405" w:right="397"/>
              <w:jc w:val="center"/>
              <w:rPr>
                <w:rFonts w:ascii="Arial" w:hAnsi="Arial" w:cs="Arial"/>
              </w:rPr>
            </w:pPr>
            <w:r w:rsidRPr="007058B5">
              <w:rPr>
                <w:rFonts w:ascii="Arial" w:hAnsi="Arial" w:cs="Arial"/>
              </w:rPr>
              <w:t>251</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5A95C864" w14:textId="77777777" w:rsidR="007058B5" w:rsidRPr="007058B5" w:rsidRDefault="007058B5" w:rsidP="007058B5">
            <w:pPr>
              <w:kinsoku w:val="0"/>
              <w:overflowPunct w:val="0"/>
              <w:autoSpaceDE w:val="0"/>
              <w:autoSpaceDN w:val="0"/>
              <w:adjustRightInd w:val="0"/>
              <w:spacing w:after="0" w:line="233" w:lineRule="exact"/>
              <w:ind w:left="405" w:right="396"/>
              <w:jc w:val="center"/>
              <w:rPr>
                <w:rFonts w:ascii="Arial" w:hAnsi="Arial" w:cs="Arial"/>
              </w:rPr>
            </w:pPr>
            <w:r w:rsidRPr="007058B5">
              <w:rPr>
                <w:rFonts w:ascii="Arial" w:hAnsi="Arial" w:cs="Arial"/>
              </w:rPr>
              <w:t>49</w:t>
            </w:r>
          </w:p>
        </w:tc>
      </w:tr>
      <w:tr w:rsidR="007058B5" w:rsidRPr="007058B5" w14:paraId="25616A49"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05FEBDB7" w14:textId="77777777" w:rsidR="007058B5" w:rsidRPr="007058B5" w:rsidRDefault="007058B5" w:rsidP="007058B5">
            <w:pPr>
              <w:kinsoku w:val="0"/>
              <w:overflowPunct w:val="0"/>
              <w:autoSpaceDE w:val="0"/>
              <w:autoSpaceDN w:val="0"/>
              <w:adjustRightInd w:val="0"/>
              <w:spacing w:after="0" w:line="233" w:lineRule="exact"/>
              <w:ind w:left="292"/>
              <w:rPr>
                <w:rFonts w:ascii="Arial" w:hAnsi="Arial" w:cs="Arial"/>
              </w:rPr>
            </w:pPr>
            <w:r w:rsidRPr="007058B5">
              <w:rPr>
                <w:rFonts w:ascii="Arial" w:hAnsi="Arial" w:cs="Arial"/>
              </w:rPr>
              <w:t>2012</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18C0C0CB"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rPr>
            </w:pPr>
            <w:r w:rsidRPr="007058B5">
              <w:rPr>
                <w:rFonts w:ascii="Arial" w:hAnsi="Arial" w:cs="Arial"/>
              </w:rPr>
              <w:t>73</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35B0DEC6" w14:textId="77777777" w:rsidR="007058B5" w:rsidRPr="007058B5" w:rsidRDefault="007058B5" w:rsidP="007058B5">
            <w:pPr>
              <w:kinsoku w:val="0"/>
              <w:overflowPunct w:val="0"/>
              <w:autoSpaceDE w:val="0"/>
              <w:autoSpaceDN w:val="0"/>
              <w:adjustRightInd w:val="0"/>
              <w:spacing w:after="0" w:line="233" w:lineRule="exact"/>
              <w:ind w:left="405" w:right="397"/>
              <w:jc w:val="center"/>
              <w:rPr>
                <w:rFonts w:ascii="Arial" w:hAnsi="Arial" w:cs="Arial"/>
              </w:rPr>
            </w:pPr>
            <w:r w:rsidRPr="007058B5">
              <w:rPr>
                <w:rFonts w:ascii="Arial" w:hAnsi="Arial" w:cs="Arial"/>
              </w:rPr>
              <w:t>194</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5D5F2027" w14:textId="77777777" w:rsidR="007058B5" w:rsidRPr="007058B5" w:rsidRDefault="007058B5" w:rsidP="007058B5">
            <w:pPr>
              <w:kinsoku w:val="0"/>
              <w:overflowPunct w:val="0"/>
              <w:autoSpaceDE w:val="0"/>
              <w:autoSpaceDN w:val="0"/>
              <w:adjustRightInd w:val="0"/>
              <w:spacing w:after="0" w:line="233" w:lineRule="exact"/>
              <w:ind w:left="405" w:right="396"/>
              <w:jc w:val="center"/>
              <w:rPr>
                <w:rFonts w:ascii="Arial" w:hAnsi="Arial" w:cs="Arial"/>
              </w:rPr>
            </w:pPr>
            <w:r w:rsidRPr="007058B5">
              <w:rPr>
                <w:rFonts w:ascii="Arial" w:hAnsi="Arial" w:cs="Arial"/>
              </w:rPr>
              <w:t>42</w:t>
            </w:r>
          </w:p>
        </w:tc>
      </w:tr>
      <w:tr w:rsidR="007058B5" w:rsidRPr="007058B5" w14:paraId="5177069E"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25373E80" w14:textId="77777777" w:rsidR="007058B5" w:rsidRPr="007058B5" w:rsidRDefault="007058B5" w:rsidP="007058B5">
            <w:pPr>
              <w:kinsoku w:val="0"/>
              <w:overflowPunct w:val="0"/>
              <w:autoSpaceDE w:val="0"/>
              <w:autoSpaceDN w:val="0"/>
              <w:adjustRightInd w:val="0"/>
              <w:spacing w:after="0" w:line="233" w:lineRule="exact"/>
              <w:ind w:left="292"/>
              <w:rPr>
                <w:rFonts w:ascii="Arial" w:hAnsi="Arial" w:cs="Arial"/>
              </w:rPr>
            </w:pPr>
            <w:r w:rsidRPr="007058B5">
              <w:rPr>
                <w:rFonts w:ascii="Arial" w:hAnsi="Arial" w:cs="Arial"/>
              </w:rPr>
              <w:t>2013</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53656F05"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rPr>
            </w:pPr>
            <w:r w:rsidRPr="007058B5">
              <w:rPr>
                <w:rFonts w:ascii="Arial" w:hAnsi="Arial" w:cs="Arial"/>
              </w:rPr>
              <w:t>47</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7560E755" w14:textId="77777777" w:rsidR="007058B5" w:rsidRPr="007058B5" w:rsidRDefault="007058B5" w:rsidP="007058B5">
            <w:pPr>
              <w:kinsoku w:val="0"/>
              <w:overflowPunct w:val="0"/>
              <w:autoSpaceDE w:val="0"/>
              <w:autoSpaceDN w:val="0"/>
              <w:adjustRightInd w:val="0"/>
              <w:spacing w:after="0" w:line="233" w:lineRule="exact"/>
              <w:ind w:left="405" w:right="397"/>
              <w:jc w:val="center"/>
              <w:rPr>
                <w:rFonts w:ascii="Arial" w:hAnsi="Arial" w:cs="Arial"/>
              </w:rPr>
            </w:pPr>
            <w:r w:rsidRPr="007058B5">
              <w:rPr>
                <w:rFonts w:ascii="Arial" w:hAnsi="Arial" w:cs="Arial"/>
              </w:rPr>
              <w:t>187</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2197A3E3" w14:textId="77777777" w:rsidR="007058B5" w:rsidRPr="007058B5" w:rsidRDefault="007058B5" w:rsidP="007058B5">
            <w:pPr>
              <w:kinsoku w:val="0"/>
              <w:overflowPunct w:val="0"/>
              <w:autoSpaceDE w:val="0"/>
              <w:autoSpaceDN w:val="0"/>
              <w:adjustRightInd w:val="0"/>
              <w:spacing w:after="0" w:line="233" w:lineRule="exact"/>
              <w:ind w:left="405" w:right="396"/>
              <w:jc w:val="center"/>
              <w:rPr>
                <w:rFonts w:ascii="Arial" w:hAnsi="Arial" w:cs="Arial"/>
              </w:rPr>
            </w:pPr>
            <w:r w:rsidRPr="007058B5">
              <w:rPr>
                <w:rFonts w:ascii="Arial" w:hAnsi="Arial" w:cs="Arial"/>
              </w:rPr>
              <w:t>40</w:t>
            </w:r>
          </w:p>
        </w:tc>
      </w:tr>
      <w:tr w:rsidR="007058B5" w:rsidRPr="007058B5" w14:paraId="16F8BC8E"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5E45BC5B" w14:textId="77777777" w:rsidR="007058B5" w:rsidRPr="007058B5" w:rsidRDefault="007058B5" w:rsidP="007058B5">
            <w:pPr>
              <w:kinsoku w:val="0"/>
              <w:overflowPunct w:val="0"/>
              <w:autoSpaceDE w:val="0"/>
              <w:autoSpaceDN w:val="0"/>
              <w:adjustRightInd w:val="0"/>
              <w:spacing w:after="0" w:line="233" w:lineRule="exact"/>
              <w:ind w:left="292"/>
              <w:rPr>
                <w:rFonts w:ascii="Arial" w:hAnsi="Arial" w:cs="Arial"/>
              </w:rPr>
            </w:pPr>
            <w:r w:rsidRPr="007058B5">
              <w:rPr>
                <w:rFonts w:ascii="Arial" w:hAnsi="Arial" w:cs="Arial"/>
              </w:rPr>
              <w:t>2014</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3457CA8C"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rPr>
            </w:pPr>
            <w:r w:rsidRPr="007058B5">
              <w:rPr>
                <w:rFonts w:ascii="Arial" w:hAnsi="Arial" w:cs="Arial"/>
              </w:rPr>
              <w:t>20</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27022E62" w14:textId="77777777" w:rsidR="007058B5" w:rsidRPr="007058B5" w:rsidRDefault="007058B5" w:rsidP="007058B5">
            <w:pPr>
              <w:kinsoku w:val="0"/>
              <w:overflowPunct w:val="0"/>
              <w:autoSpaceDE w:val="0"/>
              <w:autoSpaceDN w:val="0"/>
              <w:adjustRightInd w:val="0"/>
              <w:spacing w:after="0" w:line="233" w:lineRule="exact"/>
              <w:ind w:left="405" w:right="397"/>
              <w:jc w:val="center"/>
              <w:rPr>
                <w:rFonts w:ascii="Arial" w:hAnsi="Arial" w:cs="Arial"/>
              </w:rPr>
            </w:pPr>
            <w:r w:rsidRPr="007058B5">
              <w:rPr>
                <w:rFonts w:ascii="Arial" w:hAnsi="Arial" w:cs="Arial"/>
              </w:rPr>
              <w:t>163</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19BA310F" w14:textId="77777777" w:rsidR="007058B5" w:rsidRPr="007058B5" w:rsidRDefault="007058B5" w:rsidP="007058B5">
            <w:pPr>
              <w:kinsoku w:val="0"/>
              <w:overflowPunct w:val="0"/>
              <w:autoSpaceDE w:val="0"/>
              <w:autoSpaceDN w:val="0"/>
              <w:adjustRightInd w:val="0"/>
              <w:spacing w:after="0" w:line="233" w:lineRule="exact"/>
              <w:ind w:left="405" w:right="396"/>
              <w:jc w:val="center"/>
              <w:rPr>
                <w:rFonts w:ascii="Arial" w:hAnsi="Arial" w:cs="Arial"/>
              </w:rPr>
            </w:pPr>
            <w:r w:rsidRPr="007058B5">
              <w:rPr>
                <w:rFonts w:ascii="Arial" w:hAnsi="Arial" w:cs="Arial"/>
              </w:rPr>
              <w:t>70</w:t>
            </w:r>
          </w:p>
        </w:tc>
      </w:tr>
      <w:tr w:rsidR="007058B5" w:rsidRPr="007058B5" w14:paraId="34B6CC7F" w14:textId="77777777">
        <w:trPr>
          <w:trHeight w:val="253"/>
        </w:trPr>
        <w:tc>
          <w:tcPr>
            <w:tcW w:w="1075" w:type="dxa"/>
            <w:tcBorders>
              <w:top w:val="single" w:sz="4" w:space="0" w:color="000000"/>
              <w:left w:val="single" w:sz="4" w:space="0" w:color="000000"/>
              <w:bottom w:val="single" w:sz="4" w:space="0" w:color="000000"/>
              <w:right w:val="single" w:sz="4" w:space="0" w:color="000000"/>
            </w:tcBorders>
          </w:tcPr>
          <w:p w14:paraId="5F665E96" w14:textId="77777777" w:rsidR="007058B5" w:rsidRPr="007058B5" w:rsidRDefault="007058B5" w:rsidP="007058B5">
            <w:pPr>
              <w:kinsoku w:val="0"/>
              <w:overflowPunct w:val="0"/>
              <w:autoSpaceDE w:val="0"/>
              <w:autoSpaceDN w:val="0"/>
              <w:adjustRightInd w:val="0"/>
              <w:spacing w:before="1" w:after="0" w:line="233" w:lineRule="exact"/>
              <w:ind w:left="292"/>
              <w:rPr>
                <w:rFonts w:ascii="Arial" w:hAnsi="Arial" w:cs="Arial"/>
              </w:rPr>
            </w:pPr>
            <w:r w:rsidRPr="007058B5">
              <w:rPr>
                <w:rFonts w:ascii="Arial" w:hAnsi="Arial" w:cs="Arial"/>
              </w:rPr>
              <w:t>2015</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754799E0" w14:textId="77777777" w:rsidR="007058B5" w:rsidRPr="007058B5" w:rsidRDefault="007058B5" w:rsidP="007058B5">
            <w:pPr>
              <w:kinsoku w:val="0"/>
              <w:overflowPunct w:val="0"/>
              <w:autoSpaceDE w:val="0"/>
              <w:autoSpaceDN w:val="0"/>
              <w:adjustRightInd w:val="0"/>
              <w:spacing w:before="1" w:after="0" w:line="233" w:lineRule="exact"/>
              <w:ind w:left="184" w:right="176"/>
              <w:jc w:val="center"/>
              <w:rPr>
                <w:rFonts w:ascii="Arial" w:hAnsi="Arial" w:cs="Arial"/>
              </w:rPr>
            </w:pPr>
            <w:r w:rsidRPr="007058B5">
              <w:rPr>
                <w:rFonts w:ascii="Arial" w:hAnsi="Arial" w:cs="Arial"/>
              </w:rPr>
              <w:t>23</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56E70A1A" w14:textId="77777777" w:rsidR="007058B5" w:rsidRPr="007058B5" w:rsidRDefault="007058B5" w:rsidP="007058B5">
            <w:pPr>
              <w:kinsoku w:val="0"/>
              <w:overflowPunct w:val="0"/>
              <w:autoSpaceDE w:val="0"/>
              <w:autoSpaceDN w:val="0"/>
              <w:adjustRightInd w:val="0"/>
              <w:spacing w:before="1" w:after="0" w:line="233" w:lineRule="exact"/>
              <w:ind w:left="405" w:right="397"/>
              <w:jc w:val="center"/>
              <w:rPr>
                <w:rFonts w:ascii="Arial" w:hAnsi="Arial" w:cs="Arial"/>
              </w:rPr>
            </w:pPr>
            <w:r w:rsidRPr="007058B5">
              <w:rPr>
                <w:rFonts w:ascii="Arial" w:hAnsi="Arial" w:cs="Arial"/>
              </w:rPr>
              <w:t>122</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787B7EA7" w14:textId="77777777" w:rsidR="007058B5" w:rsidRPr="007058B5" w:rsidRDefault="007058B5" w:rsidP="007058B5">
            <w:pPr>
              <w:kinsoku w:val="0"/>
              <w:overflowPunct w:val="0"/>
              <w:autoSpaceDE w:val="0"/>
              <w:autoSpaceDN w:val="0"/>
              <w:adjustRightInd w:val="0"/>
              <w:spacing w:before="1" w:after="0" w:line="233" w:lineRule="exact"/>
              <w:ind w:left="405" w:right="396"/>
              <w:jc w:val="center"/>
              <w:rPr>
                <w:rFonts w:ascii="Arial" w:hAnsi="Arial" w:cs="Arial"/>
              </w:rPr>
            </w:pPr>
            <w:r w:rsidRPr="007058B5">
              <w:rPr>
                <w:rFonts w:ascii="Arial" w:hAnsi="Arial" w:cs="Arial"/>
              </w:rPr>
              <w:t>28</w:t>
            </w:r>
          </w:p>
        </w:tc>
      </w:tr>
      <w:tr w:rsidR="007058B5" w:rsidRPr="007058B5" w14:paraId="6ADFC3A8"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63CFF97A" w14:textId="77777777" w:rsidR="007058B5" w:rsidRPr="007058B5" w:rsidRDefault="007058B5" w:rsidP="007058B5">
            <w:pPr>
              <w:kinsoku w:val="0"/>
              <w:overflowPunct w:val="0"/>
              <w:autoSpaceDE w:val="0"/>
              <w:autoSpaceDN w:val="0"/>
              <w:adjustRightInd w:val="0"/>
              <w:spacing w:after="0" w:line="233" w:lineRule="exact"/>
              <w:ind w:left="292"/>
              <w:rPr>
                <w:rFonts w:ascii="Arial" w:hAnsi="Arial" w:cs="Arial"/>
              </w:rPr>
            </w:pPr>
            <w:r w:rsidRPr="007058B5">
              <w:rPr>
                <w:rFonts w:ascii="Arial" w:hAnsi="Arial" w:cs="Arial"/>
              </w:rPr>
              <w:t>2016</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3CA2B941"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rPr>
            </w:pPr>
            <w:r w:rsidRPr="007058B5">
              <w:rPr>
                <w:rFonts w:ascii="Arial" w:hAnsi="Arial" w:cs="Arial"/>
              </w:rPr>
              <w:t>16</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49A9B6B9" w14:textId="77777777" w:rsidR="007058B5" w:rsidRPr="007058B5" w:rsidRDefault="007058B5" w:rsidP="007058B5">
            <w:pPr>
              <w:kinsoku w:val="0"/>
              <w:overflowPunct w:val="0"/>
              <w:autoSpaceDE w:val="0"/>
              <w:autoSpaceDN w:val="0"/>
              <w:adjustRightInd w:val="0"/>
              <w:spacing w:after="0" w:line="233" w:lineRule="exact"/>
              <w:ind w:left="405" w:right="397"/>
              <w:jc w:val="center"/>
              <w:rPr>
                <w:rFonts w:ascii="Arial" w:hAnsi="Arial" w:cs="Arial"/>
              </w:rPr>
            </w:pPr>
            <w:r w:rsidRPr="007058B5">
              <w:rPr>
                <w:rFonts w:ascii="Arial" w:hAnsi="Arial" w:cs="Arial"/>
              </w:rPr>
              <w:t>220</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0ED3B552" w14:textId="77777777" w:rsidR="007058B5" w:rsidRPr="007058B5" w:rsidRDefault="007058B5" w:rsidP="007058B5">
            <w:pPr>
              <w:kinsoku w:val="0"/>
              <w:overflowPunct w:val="0"/>
              <w:autoSpaceDE w:val="0"/>
              <w:autoSpaceDN w:val="0"/>
              <w:adjustRightInd w:val="0"/>
              <w:spacing w:after="0" w:line="233" w:lineRule="exact"/>
              <w:ind w:left="405" w:right="396"/>
              <w:jc w:val="center"/>
              <w:rPr>
                <w:rFonts w:ascii="Arial" w:hAnsi="Arial" w:cs="Arial"/>
              </w:rPr>
            </w:pPr>
            <w:r w:rsidRPr="007058B5">
              <w:rPr>
                <w:rFonts w:ascii="Arial" w:hAnsi="Arial" w:cs="Arial"/>
              </w:rPr>
              <w:t>18</w:t>
            </w:r>
          </w:p>
        </w:tc>
      </w:tr>
      <w:tr w:rsidR="007058B5" w:rsidRPr="007058B5" w14:paraId="17CC7BA1"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2561FF11" w14:textId="77777777" w:rsidR="007058B5" w:rsidRPr="007058B5" w:rsidRDefault="007058B5" w:rsidP="007058B5">
            <w:pPr>
              <w:kinsoku w:val="0"/>
              <w:overflowPunct w:val="0"/>
              <w:autoSpaceDE w:val="0"/>
              <w:autoSpaceDN w:val="0"/>
              <w:adjustRightInd w:val="0"/>
              <w:spacing w:after="0" w:line="233" w:lineRule="exact"/>
              <w:ind w:left="292"/>
              <w:rPr>
                <w:rFonts w:ascii="Arial" w:hAnsi="Arial" w:cs="Arial"/>
              </w:rPr>
            </w:pPr>
            <w:r w:rsidRPr="007058B5">
              <w:rPr>
                <w:rFonts w:ascii="Arial" w:hAnsi="Arial" w:cs="Arial"/>
              </w:rPr>
              <w:t>2017</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3B82EC8B"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rPr>
            </w:pPr>
            <w:r w:rsidRPr="007058B5">
              <w:rPr>
                <w:rFonts w:ascii="Arial" w:hAnsi="Arial" w:cs="Arial"/>
              </w:rPr>
              <w:t>26</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28B96145" w14:textId="77777777" w:rsidR="007058B5" w:rsidRPr="007058B5" w:rsidRDefault="007058B5" w:rsidP="007058B5">
            <w:pPr>
              <w:kinsoku w:val="0"/>
              <w:overflowPunct w:val="0"/>
              <w:autoSpaceDE w:val="0"/>
              <w:autoSpaceDN w:val="0"/>
              <w:adjustRightInd w:val="0"/>
              <w:spacing w:after="0" w:line="233" w:lineRule="exact"/>
              <w:ind w:left="405" w:right="397"/>
              <w:jc w:val="center"/>
              <w:rPr>
                <w:rFonts w:ascii="Arial" w:hAnsi="Arial" w:cs="Arial"/>
              </w:rPr>
            </w:pPr>
            <w:r w:rsidRPr="007058B5">
              <w:rPr>
                <w:rFonts w:ascii="Arial" w:hAnsi="Arial" w:cs="Arial"/>
              </w:rPr>
              <w:t>191</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6AD5668F" w14:textId="77777777" w:rsidR="007058B5" w:rsidRPr="007058B5" w:rsidRDefault="007058B5" w:rsidP="007058B5">
            <w:pPr>
              <w:kinsoku w:val="0"/>
              <w:overflowPunct w:val="0"/>
              <w:autoSpaceDE w:val="0"/>
              <w:autoSpaceDN w:val="0"/>
              <w:adjustRightInd w:val="0"/>
              <w:spacing w:after="0" w:line="233" w:lineRule="exact"/>
              <w:ind w:left="405" w:right="396"/>
              <w:jc w:val="center"/>
              <w:rPr>
                <w:rFonts w:ascii="Arial" w:hAnsi="Arial" w:cs="Arial"/>
              </w:rPr>
            </w:pPr>
            <w:r w:rsidRPr="007058B5">
              <w:rPr>
                <w:rFonts w:ascii="Arial" w:hAnsi="Arial" w:cs="Arial"/>
              </w:rPr>
              <w:t>17</w:t>
            </w:r>
          </w:p>
        </w:tc>
      </w:tr>
      <w:tr w:rsidR="007058B5" w:rsidRPr="007058B5" w14:paraId="5F8DB4C3"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1AAF96BF" w14:textId="77777777" w:rsidR="007058B5" w:rsidRPr="007058B5" w:rsidRDefault="007058B5" w:rsidP="007058B5">
            <w:pPr>
              <w:kinsoku w:val="0"/>
              <w:overflowPunct w:val="0"/>
              <w:autoSpaceDE w:val="0"/>
              <w:autoSpaceDN w:val="0"/>
              <w:adjustRightInd w:val="0"/>
              <w:spacing w:after="0" w:line="233" w:lineRule="exact"/>
              <w:ind w:left="292"/>
              <w:rPr>
                <w:rFonts w:ascii="Arial" w:hAnsi="Arial" w:cs="Arial"/>
              </w:rPr>
            </w:pPr>
            <w:r w:rsidRPr="007058B5">
              <w:rPr>
                <w:rFonts w:ascii="Arial" w:hAnsi="Arial" w:cs="Arial"/>
              </w:rPr>
              <w:t>2018</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5D36ED42"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rPr>
            </w:pPr>
            <w:r w:rsidRPr="007058B5">
              <w:rPr>
                <w:rFonts w:ascii="Arial" w:hAnsi="Arial" w:cs="Arial"/>
              </w:rPr>
              <w:t>30</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1F38EEF2" w14:textId="77777777" w:rsidR="007058B5" w:rsidRPr="007058B5" w:rsidRDefault="007058B5" w:rsidP="007058B5">
            <w:pPr>
              <w:kinsoku w:val="0"/>
              <w:overflowPunct w:val="0"/>
              <w:autoSpaceDE w:val="0"/>
              <w:autoSpaceDN w:val="0"/>
              <w:adjustRightInd w:val="0"/>
              <w:spacing w:after="0" w:line="233" w:lineRule="exact"/>
              <w:ind w:left="405" w:right="397"/>
              <w:jc w:val="center"/>
              <w:rPr>
                <w:rFonts w:ascii="Arial" w:hAnsi="Arial" w:cs="Arial"/>
              </w:rPr>
            </w:pPr>
            <w:r w:rsidRPr="007058B5">
              <w:rPr>
                <w:rFonts w:ascii="Arial" w:hAnsi="Arial" w:cs="Arial"/>
              </w:rPr>
              <w:t>107</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663377F4" w14:textId="77777777" w:rsidR="007058B5" w:rsidRPr="007058B5" w:rsidRDefault="007058B5" w:rsidP="007058B5">
            <w:pPr>
              <w:kinsoku w:val="0"/>
              <w:overflowPunct w:val="0"/>
              <w:autoSpaceDE w:val="0"/>
              <w:autoSpaceDN w:val="0"/>
              <w:adjustRightInd w:val="0"/>
              <w:spacing w:after="0" w:line="233" w:lineRule="exact"/>
              <w:ind w:left="405" w:right="396"/>
              <w:jc w:val="center"/>
              <w:rPr>
                <w:rFonts w:ascii="Arial" w:hAnsi="Arial" w:cs="Arial"/>
              </w:rPr>
            </w:pPr>
            <w:r w:rsidRPr="007058B5">
              <w:rPr>
                <w:rFonts w:ascii="Arial" w:hAnsi="Arial" w:cs="Arial"/>
              </w:rPr>
              <w:t>60</w:t>
            </w:r>
          </w:p>
        </w:tc>
      </w:tr>
      <w:tr w:rsidR="007058B5" w:rsidRPr="007058B5" w14:paraId="3F1BCCCA" w14:textId="77777777">
        <w:trPr>
          <w:trHeight w:val="252"/>
        </w:trPr>
        <w:tc>
          <w:tcPr>
            <w:tcW w:w="1075" w:type="dxa"/>
            <w:tcBorders>
              <w:top w:val="single" w:sz="4" w:space="0" w:color="000000"/>
              <w:left w:val="single" w:sz="4" w:space="0" w:color="000000"/>
              <w:bottom w:val="single" w:sz="4" w:space="0" w:color="000000"/>
              <w:right w:val="single" w:sz="4" w:space="0" w:color="000000"/>
            </w:tcBorders>
          </w:tcPr>
          <w:p w14:paraId="5A5C96F9" w14:textId="77777777" w:rsidR="007058B5" w:rsidRPr="007058B5" w:rsidRDefault="007058B5" w:rsidP="007058B5">
            <w:pPr>
              <w:kinsoku w:val="0"/>
              <w:overflowPunct w:val="0"/>
              <w:autoSpaceDE w:val="0"/>
              <w:autoSpaceDN w:val="0"/>
              <w:adjustRightInd w:val="0"/>
              <w:spacing w:after="0" w:line="233" w:lineRule="exact"/>
              <w:ind w:left="292"/>
              <w:rPr>
                <w:rFonts w:ascii="Arial" w:hAnsi="Arial" w:cs="Arial"/>
              </w:rPr>
            </w:pPr>
            <w:r w:rsidRPr="007058B5">
              <w:rPr>
                <w:rFonts w:ascii="Arial" w:hAnsi="Arial" w:cs="Arial"/>
              </w:rPr>
              <w:t>2019</w:t>
            </w:r>
          </w:p>
        </w:tc>
        <w:tc>
          <w:tcPr>
            <w:tcW w:w="1170" w:type="dxa"/>
            <w:tcBorders>
              <w:top w:val="single" w:sz="4" w:space="0" w:color="000000"/>
              <w:left w:val="single" w:sz="4" w:space="0" w:color="000000"/>
              <w:bottom w:val="single" w:sz="4" w:space="0" w:color="000000"/>
              <w:right w:val="single" w:sz="4" w:space="0" w:color="000000"/>
            </w:tcBorders>
            <w:shd w:val="clear" w:color="auto" w:fill="FBE3D5"/>
          </w:tcPr>
          <w:p w14:paraId="2D18AB25" w14:textId="77777777" w:rsidR="007058B5" w:rsidRPr="007058B5" w:rsidRDefault="007058B5" w:rsidP="007058B5">
            <w:pPr>
              <w:kinsoku w:val="0"/>
              <w:overflowPunct w:val="0"/>
              <w:autoSpaceDE w:val="0"/>
              <w:autoSpaceDN w:val="0"/>
              <w:adjustRightInd w:val="0"/>
              <w:spacing w:after="0" w:line="233" w:lineRule="exact"/>
              <w:ind w:left="184" w:right="176"/>
              <w:jc w:val="center"/>
              <w:rPr>
                <w:rFonts w:ascii="Arial" w:hAnsi="Arial" w:cs="Arial"/>
              </w:rPr>
            </w:pPr>
            <w:r w:rsidRPr="007058B5">
              <w:rPr>
                <w:rFonts w:ascii="Arial" w:hAnsi="Arial" w:cs="Arial"/>
              </w:rPr>
              <w:t>29</w:t>
            </w:r>
          </w:p>
        </w:tc>
        <w:tc>
          <w:tcPr>
            <w:tcW w:w="1710" w:type="dxa"/>
            <w:tcBorders>
              <w:top w:val="single" w:sz="4" w:space="0" w:color="000000"/>
              <w:left w:val="single" w:sz="4" w:space="0" w:color="000000"/>
              <w:bottom w:val="single" w:sz="4" w:space="0" w:color="000000"/>
              <w:right w:val="single" w:sz="4" w:space="0" w:color="000000"/>
            </w:tcBorders>
            <w:shd w:val="clear" w:color="auto" w:fill="DDEBF7"/>
          </w:tcPr>
          <w:p w14:paraId="266A785E" w14:textId="77777777" w:rsidR="007058B5" w:rsidRPr="007058B5" w:rsidRDefault="007058B5" w:rsidP="007058B5">
            <w:pPr>
              <w:kinsoku w:val="0"/>
              <w:overflowPunct w:val="0"/>
              <w:autoSpaceDE w:val="0"/>
              <w:autoSpaceDN w:val="0"/>
              <w:adjustRightInd w:val="0"/>
              <w:spacing w:after="0" w:line="233" w:lineRule="exact"/>
              <w:ind w:left="405" w:right="397"/>
              <w:jc w:val="center"/>
              <w:rPr>
                <w:rFonts w:ascii="Arial" w:hAnsi="Arial" w:cs="Arial"/>
              </w:rPr>
            </w:pPr>
            <w:r w:rsidRPr="007058B5">
              <w:rPr>
                <w:rFonts w:ascii="Arial" w:hAnsi="Arial" w:cs="Arial"/>
              </w:rPr>
              <w:t>55</w:t>
            </w:r>
          </w:p>
        </w:tc>
        <w:tc>
          <w:tcPr>
            <w:tcW w:w="1440" w:type="dxa"/>
            <w:tcBorders>
              <w:top w:val="single" w:sz="4" w:space="0" w:color="000000"/>
              <w:left w:val="single" w:sz="4" w:space="0" w:color="000000"/>
              <w:bottom w:val="single" w:sz="4" w:space="0" w:color="000000"/>
              <w:right w:val="single" w:sz="4" w:space="0" w:color="000000"/>
            </w:tcBorders>
            <w:shd w:val="clear" w:color="auto" w:fill="E1EEDA"/>
          </w:tcPr>
          <w:p w14:paraId="5D988464" w14:textId="77777777" w:rsidR="007058B5" w:rsidRPr="007058B5" w:rsidRDefault="007058B5" w:rsidP="007058B5">
            <w:pPr>
              <w:kinsoku w:val="0"/>
              <w:overflowPunct w:val="0"/>
              <w:autoSpaceDE w:val="0"/>
              <w:autoSpaceDN w:val="0"/>
              <w:adjustRightInd w:val="0"/>
              <w:spacing w:after="0" w:line="233" w:lineRule="exact"/>
              <w:ind w:left="9"/>
              <w:jc w:val="center"/>
              <w:rPr>
                <w:rFonts w:ascii="Arial" w:hAnsi="Arial" w:cs="Arial"/>
                <w:w w:val="99"/>
              </w:rPr>
            </w:pPr>
            <w:r w:rsidRPr="007058B5">
              <w:rPr>
                <w:rFonts w:ascii="Arial" w:hAnsi="Arial" w:cs="Arial"/>
                <w:w w:val="99"/>
              </w:rPr>
              <w:t>4</w:t>
            </w:r>
          </w:p>
        </w:tc>
      </w:tr>
    </w:tbl>
    <w:p w14:paraId="6955C82B" w14:textId="288C40C5" w:rsidR="007058B5" w:rsidRDefault="007058B5" w:rsidP="007058B5"/>
    <w:p w14:paraId="24928996" w14:textId="77777777" w:rsidR="007058B5" w:rsidRDefault="007058B5" w:rsidP="007058B5">
      <w:pPr>
        <w:pStyle w:val="Default"/>
      </w:pPr>
    </w:p>
    <w:p w14:paraId="1B0A6D03" w14:textId="77777777" w:rsidR="007058B5" w:rsidRDefault="007058B5" w:rsidP="007058B5">
      <w:pPr>
        <w:pStyle w:val="Default"/>
        <w:rPr>
          <w:sz w:val="23"/>
          <w:szCs w:val="23"/>
        </w:rPr>
      </w:pPr>
      <w:r>
        <w:rPr>
          <w:sz w:val="23"/>
          <w:szCs w:val="23"/>
        </w:rPr>
        <w:t xml:space="preserve">2) Report of the 2020 National Academy of Sciences, Engineering and Medicine (NASEM) on the use of canines in VA research: </w:t>
      </w:r>
    </w:p>
    <w:p w14:paraId="24B50F25" w14:textId="603CE42D" w:rsidR="007058B5" w:rsidRDefault="007058B5" w:rsidP="007058B5">
      <w:pPr>
        <w:pStyle w:val="Default"/>
        <w:ind w:firstLine="720"/>
        <w:rPr>
          <w:sz w:val="23"/>
          <w:szCs w:val="23"/>
        </w:rPr>
      </w:pPr>
      <w:r>
        <w:rPr>
          <w:sz w:val="23"/>
          <w:szCs w:val="23"/>
        </w:rPr>
        <w:t xml:space="preserve">a. The report was commissioned by the VA under a contract awarded in 2018. </w:t>
      </w:r>
    </w:p>
    <w:p w14:paraId="1F35B398" w14:textId="77777777" w:rsidR="007058B5" w:rsidRDefault="007058B5" w:rsidP="007058B5">
      <w:pPr>
        <w:pStyle w:val="Default"/>
        <w:ind w:left="720"/>
        <w:rPr>
          <w:sz w:val="23"/>
          <w:szCs w:val="23"/>
        </w:rPr>
      </w:pPr>
      <w:r>
        <w:rPr>
          <w:sz w:val="23"/>
          <w:szCs w:val="23"/>
        </w:rPr>
        <w:t xml:space="preserve">b. Findings: </w:t>
      </w:r>
    </w:p>
    <w:p w14:paraId="5112B523" w14:textId="6EBE8D0A" w:rsidR="007058B5" w:rsidRDefault="007058B5" w:rsidP="007058B5">
      <w:pPr>
        <w:pStyle w:val="Default"/>
        <w:ind w:left="1440"/>
        <w:rPr>
          <w:sz w:val="23"/>
          <w:szCs w:val="23"/>
        </w:rPr>
      </w:pPr>
      <w:r>
        <w:rPr>
          <w:sz w:val="23"/>
          <w:szCs w:val="23"/>
        </w:rPr>
        <w:t xml:space="preserve">i. The VA canine research program is compliant with all legal and regulatory requirements. </w:t>
      </w:r>
    </w:p>
    <w:p w14:paraId="55BBF07B" w14:textId="77777777" w:rsidR="007058B5" w:rsidRDefault="007058B5" w:rsidP="007058B5">
      <w:pPr>
        <w:pStyle w:val="Default"/>
        <w:ind w:left="1440"/>
        <w:rPr>
          <w:sz w:val="23"/>
          <w:szCs w:val="23"/>
        </w:rPr>
      </w:pPr>
      <w:r>
        <w:rPr>
          <w:sz w:val="23"/>
          <w:szCs w:val="23"/>
        </w:rPr>
        <w:lastRenderedPageBreak/>
        <w:t xml:space="preserve">ii. The VA canine research program has yielded important advances that have improved the health and welfare of Veterans. </w:t>
      </w:r>
    </w:p>
    <w:p w14:paraId="260586B0" w14:textId="77777777" w:rsidR="007058B5" w:rsidRDefault="007058B5" w:rsidP="007058B5">
      <w:pPr>
        <w:pStyle w:val="Default"/>
        <w:ind w:left="1440"/>
        <w:rPr>
          <w:sz w:val="23"/>
          <w:szCs w:val="23"/>
        </w:rPr>
      </w:pPr>
      <w:r>
        <w:rPr>
          <w:sz w:val="23"/>
          <w:szCs w:val="23"/>
        </w:rPr>
        <w:t xml:space="preserve">iii. Current VA research with canines addresses research questions for which the need to use this model is recognized. </w:t>
      </w:r>
    </w:p>
    <w:p w14:paraId="3D0CC5E9" w14:textId="77777777" w:rsidR="007058B5" w:rsidRDefault="007058B5" w:rsidP="007058B5">
      <w:pPr>
        <w:pStyle w:val="Default"/>
        <w:ind w:left="1440"/>
        <w:rPr>
          <w:sz w:val="23"/>
          <w:szCs w:val="23"/>
        </w:rPr>
      </w:pPr>
      <w:r>
        <w:rPr>
          <w:sz w:val="23"/>
          <w:szCs w:val="23"/>
        </w:rPr>
        <w:t xml:space="preserve">iv. Use of canines for specific research areas is likely to be required in the future. </w:t>
      </w:r>
    </w:p>
    <w:p w14:paraId="2E11496C" w14:textId="77777777" w:rsidR="007058B5" w:rsidRDefault="007058B5" w:rsidP="007058B5">
      <w:pPr>
        <w:pStyle w:val="Default"/>
        <w:rPr>
          <w:sz w:val="23"/>
          <w:szCs w:val="23"/>
        </w:rPr>
      </w:pPr>
    </w:p>
    <w:p w14:paraId="6EE4966B" w14:textId="77777777" w:rsidR="007058B5" w:rsidRDefault="007058B5" w:rsidP="007058B5">
      <w:pPr>
        <w:pStyle w:val="Default"/>
        <w:ind w:left="720"/>
        <w:rPr>
          <w:sz w:val="23"/>
          <w:szCs w:val="23"/>
        </w:rPr>
      </w:pPr>
      <w:r>
        <w:rPr>
          <w:sz w:val="23"/>
          <w:szCs w:val="23"/>
        </w:rPr>
        <w:t>c. Recommendations relevant to the VA plan -- VA should:</w:t>
      </w:r>
    </w:p>
    <w:p w14:paraId="683A7C8A" w14:textId="526B837A" w:rsidR="007058B5" w:rsidRDefault="007058B5" w:rsidP="007058B5">
      <w:pPr>
        <w:pStyle w:val="Default"/>
        <w:ind w:left="1440" w:firstLine="60"/>
        <w:rPr>
          <w:sz w:val="23"/>
          <w:szCs w:val="23"/>
        </w:rPr>
      </w:pPr>
      <w:r>
        <w:rPr>
          <w:sz w:val="23"/>
          <w:szCs w:val="23"/>
        </w:rPr>
        <w:t xml:space="preserve">i. Partner with veterinary schools to conduct more clinical trials with pets to reduce canine use for research and benefit the canines participating in the research. </w:t>
      </w:r>
    </w:p>
    <w:p w14:paraId="26C89ED7" w14:textId="77777777" w:rsidR="007058B5" w:rsidRDefault="007058B5" w:rsidP="007058B5">
      <w:pPr>
        <w:pStyle w:val="Default"/>
        <w:ind w:left="1440"/>
        <w:rPr>
          <w:sz w:val="23"/>
          <w:szCs w:val="23"/>
        </w:rPr>
      </w:pPr>
      <w:r>
        <w:rPr>
          <w:sz w:val="23"/>
          <w:szCs w:val="23"/>
        </w:rPr>
        <w:t xml:space="preserve">ii. Actively promote new alternate methodologies that meet the unique needs of VA researchers by funding research into human tissues and organs, including </w:t>
      </w:r>
      <w:r>
        <w:rPr>
          <w:i/>
          <w:iCs/>
          <w:sz w:val="23"/>
          <w:szCs w:val="23"/>
        </w:rPr>
        <w:t xml:space="preserve">in vitro </w:t>
      </w:r>
      <w:r>
        <w:rPr>
          <w:sz w:val="23"/>
          <w:szCs w:val="23"/>
        </w:rPr>
        <w:t xml:space="preserve">techniques such as organ on a chip and computational approaches. </w:t>
      </w:r>
    </w:p>
    <w:p w14:paraId="79825660" w14:textId="77777777" w:rsidR="007058B5" w:rsidRDefault="007058B5" w:rsidP="007058B5">
      <w:pPr>
        <w:pStyle w:val="Default"/>
        <w:ind w:left="1440"/>
        <w:rPr>
          <w:sz w:val="23"/>
          <w:szCs w:val="23"/>
        </w:rPr>
      </w:pPr>
      <w:r>
        <w:rPr>
          <w:sz w:val="23"/>
          <w:szCs w:val="23"/>
        </w:rPr>
        <w:t xml:space="preserve">iii. Address, in more detail, the question of why no other species besides canines can be used in the proposed research, in both the application review as well as the local ethics committee review. </w:t>
      </w:r>
    </w:p>
    <w:p w14:paraId="18388A87" w14:textId="77777777" w:rsidR="007058B5" w:rsidRDefault="007058B5" w:rsidP="007058B5">
      <w:pPr>
        <w:pStyle w:val="Default"/>
        <w:ind w:left="1440"/>
        <w:rPr>
          <w:sz w:val="23"/>
          <w:szCs w:val="23"/>
        </w:rPr>
      </w:pPr>
      <w:r>
        <w:rPr>
          <w:sz w:val="23"/>
          <w:szCs w:val="23"/>
        </w:rPr>
        <w:t xml:space="preserve">iv. Better document the animal harm/human benefit assessment and perform a more detailed literature review to verify that canines are needed. </w:t>
      </w:r>
    </w:p>
    <w:p w14:paraId="125E083B" w14:textId="77777777" w:rsidR="007058B5" w:rsidRDefault="007058B5" w:rsidP="007058B5">
      <w:pPr>
        <w:pStyle w:val="Default"/>
        <w:rPr>
          <w:sz w:val="23"/>
          <w:szCs w:val="23"/>
        </w:rPr>
      </w:pPr>
    </w:p>
    <w:p w14:paraId="3C6E87BD" w14:textId="77777777" w:rsidR="007058B5" w:rsidRDefault="007058B5" w:rsidP="007058B5">
      <w:pPr>
        <w:pStyle w:val="Default"/>
        <w:rPr>
          <w:sz w:val="23"/>
          <w:szCs w:val="23"/>
        </w:rPr>
      </w:pPr>
    </w:p>
    <w:p w14:paraId="7C6E1720" w14:textId="77777777" w:rsidR="007058B5" w:rsidRDefault="007058B5" w:rsidP="007058B5">
      <w:pPr>
        <w:pStyle w:val="Default"/>
        <w:rPr>
          <w:sz w:val="23"/>
          <w:szCs w:val="23"/>
        </w:rPr>
      </w:pPr>
      <w:r>
        <w:rPr>
          <w:sz w:val="23"/>
          <w:szCs w:val="23"/>
        </w:rPr>
        <w:t xml:space="preserve">3) Programs to reduce the use of canines, felines, and non-human primates in other Federal Agencies: </w:t>
      </w:r>
      <w:r>
        <w:rPr>
          <w:sz w:val="23"/>
          <w:szCs w:val="23"/>
        </w:rPr>
        <w:tab/>
      </w:r>
    </w:p>
    <w:p w14:paraId="775A425C" w14:textId="67F6A6E9" w:rsidR="007058B5" w:rsidRDefault="007058B5" w:rsidP="007058B5">
      <w:pPr>
        <w:pStyle w:val="Default"/>
        <w:ind w:left="720"/>
        <w:rPr>
          <w:sz w:val="23"/>
          <w:szCs w:val="23"/>
        </w:rPr>
      </w:pPr>
      <w:r>
        <w:rPr>
          <w:sz w:val="23"/>
          <w:szCs w:val="23"/>
        </w:rPr>
        <w:t xml:space="preserve">a. Collaboration on </w:t>
      </w:r>
      <w:proofErr w:type="spellStart"/>
      <w:r>
        <w:rPr>
          <w:sz w:val="23"/>
          <w:szCs w:val="23"/>
        </w:rPr>
        <w:t>microphysiological</w:t>
      </w:r>
      <w:proofErr w:type="spellEnd"/>
      <w:r>
        <w:rPr>
          <w:sz w:val="23"/>
          <w:szCs w:val="23"/>
        </w:rPr>
        <w:t xml:space="preserve"> systems: Defense Advanced Research Projects Agency (DARPA), National Center for Advancing Translational Sciences (NCATS), and U.S. Food and Drug Administration (FDA) participate in a collaborative program for the development of cell culture systems that simulate organs and organisms and could be used to replace animal models in some research and testing. </w:t>
      </w:r>
    </w:p>
    <w:p w14:paraId="5CB0C86B" w14:textId="77777777" w:rsidR="007058B5" w:rsidRDefault="007058B5" w:rsidP="007058B5">
      <w:pPr>
        <w:pStyle w:val="Default"/>
        <w:ind w:left="720"/>
        <w:rPr>
          <w:sz w:val="23"/>
          <w:szCs w:val="23"/>
        </w:rPr>
      </w:pPr>
      <w:r>
        <w:rPr>
          <w:sz w:val="23"/>
          <w:szCs w:val="23"/>
        </w:rPr>
        <w:t xml:space="preserve">b. Interagency Coordinating Committee on the Validation of Alternative Models: More than 16 Federal agencies including National Institutes of Health (NIH) and FDA are collaborating to develop and promote alternatives to the use of animals in research and testing. Approaches under development include computational toxicology and read across methodologies among others. </w:t>
      </w:r>
    </w:p>
    <w:p w14:paraId="05059A99" w14:textId="77777777" w:rsidR="007058B5" w:rsidRDefault="007058B5" w:rsidP="007058B5">
      <w:pPr>
        <w:pStyle w:val="Default"/>
        <w:rPr>
          <w:sz w:val="23"/>
          <w:szCs w:val="23"/>
        </w:rPr>
      </w:pPr>
    </w:p>
    <w:p w14:paraId="43089E5F" w14:textId="77777777" w:rsidR="007058B5" w:rsidRDefault="007058B5" w:rsidP="007058B5">
      <w:pPr>
        <w:pStyle w:val="Default"/>
        <w:rPr>
          <w:sz w:val="23"/>
          <w:szCs w:val="23"/>
        </w:rPr>
      </w:pPr>
    </w:p>
    <w:p w14:paraId="4FD01862" w14:textId="460391F4" w:rsidR="007058B5" w:rsidRDefault="007058B5" w:rsidP="007058B5">
      <w:pPr>
        <w:pStyle w:val="Default"/>
      </w:pPr>
      <w:r>
        <w:rPr>
          <w:sz w:val="23"/>
          <w:szCs w:val="23"/>
        </w:rPr>
        <w:t xml:space="preserve">4) </w:t>
      </w:r>
      <w:r w:rsidR="00280D81">
        <w:rPr>
          <w:sz w:val="23"/>
          <w:szCs w:val="23"/>
        </w:rPr>
        <w:t>VA s</w:t>
      </w:r>
      <w:r>
        <w:rPr>
          <w:sz w:val="23"/>
          <w:szCs w:val="23"/>
        </w:rPr>
        <w:t>trategies to be employed:</w:t>
      </w:r>
    </w:p>
    <w:p w14:paraId="7CDC0137" w14:textId="77777777" w:rsidR="007058B5" w:rsidRDefault="007058B5" w:rsidP="007058B5">
      <w:pPr>
        <w:pStyle w:val="Default"/>
      </w:pPr>
    </w:p>
    <w:p w14:paraId="1F2792CB" w14:textId="4FBF0F84" w:rsidR="007058B5" w:rsidRDefault="007058B5" w:rsidP="007058B5">
      <w:pPr>
        <w:pStyle w:val="Default"/>
        <w:ind w:left="720"/>
        <w:rPr>
          <w:sz w:val="23"/>
          <w:szCs w:val="23"/>
        </w:rPr>
      </w:pPr>
      <w:r>
        <w:rPr>
          <w:sz w:val="23"/>
          <w:szCs w:val="23"/>
        </w:rPr>
        <w:t xml:space="preserve">1) Establish a Sensitive Species Executive Committee as a subcommittee of the National Research Advisory Committee (NRAC) to include at least two members of the NRAC Committee, the Chief Research and Development Officer, the Director of the Biomedical Laboratory R&amp;D Service, the Director of the Rehabilitation R&amp;D Service, the VA Chief Veterinarian, and at least two senior VA researchers from the field by December 31, 2020, to guide overall plan development and implementation. </w:t>
      </w:r>
    </w:p>
    <w:p w14:paraId="4C373A4E" w14:textId="77777777" w:rsidR="007058B5" w:rsidRDefault="007058B5" w:rsidP="007058B5">
      <w:pPr>
        <w:pStyle w:val="Default"/>
        <w:rPr>
          <w:sz w:val="23"/>
          <w:szCs w:val="23"/>
        </w:rPr>
      </w:pPr>
    </w:p>
    <w:p w14:paraId="7DC4A3E4" w14:textId="77777777" w:rsidR="007058B5" w:rsidRDefault="007058B5" w:rsidP="007058B5">
      <w:pPr>
        <w:pStyle w:val="Default"/>
        <w:ind w:left="720"/>
        <w:rPr>
          <w:sz w:val="23"/>
          <w:szCs w:val="23"/>
        </w:rPr>
      </w:pPr>
      <w:r>
        <w:rPr>
          <w:sz w:val="23"/>
          <w:szCs w:val="23"/>
        </w:rPr>
        <w:t xml:space="preserve">2) Establish a Sensitive Species Working Group comprised of Scientific Program Managers from the Biomedical Laboratory and Rehabilitation R&amp;D Services, at least </w:t>
      </w:r>
      <w:r>
        <w:rPr>
          <w:sz w:val="23"/>
          <w:szCs w:val="23"/>
        </w:rPr>
        <w:lastRenderedPageBreak/>
        <w:t xml:space="preserve">two representative VA researchers from the field, and staff from the Office of the Chief Veterinarian to develop plan details, revise as additional information is obtained, and coordinate implementation. </w:t>
      </w:r>
    </w:p>
    <w:p w14:paraId="7BD04EB2" w14:textId="77777777" w:rsidR="007058B5" w:rsidRDefault="007058B5" w:rsidP="007058B5">
      <w:pPr>
        <w:pStyle w:val="Default"/>
        <w:rPr>
          <w:sz w:val="23"/>
          <w:szCs w:val="23"/>
        </w:rPr>
      </w:pPr>
    </w:p>
    <w:p w14:paraId="01680006" w14:textId="77777777" w:rsidR="007058B5" w:rsidRDefault="007058B5" w:rsidP="007058B5">
      <w:pPr>
        <w:pStyle w:val="Default"/>
        <w:ind w:left="720"/>
        <w:rPr>
          <w:sz w:val="23"/>
          <w:szCs w:val="23"/>
        </w:rPr>
      </w:pPr>
      <w:r>
        <w:rPr>
          <w:sz w:val="23"/>
          <w:szCs w:val="23"/>
        </w:rPr>
        <w:t xml:space="preserve">3) Establish an education program for VA researchers to familiarize them with program goals and methods and educate and mentor them on strategies and methods to reduce the use of canines, felines and, NHPs in their research (to address NASEM ii, above). </w:t>
      </w:r>
    </w:p>
    <w:p w14:paraId="0DD59550" w14:textId="77777777" w:rsidR="007058B5" w:rsidRDefault="007058B5" w:rsidP="007058B5">
      <w:pPr>
        <w:pStyle w:val="Default"/>
        <w:rPr>
          <w:sz w:val="23"/>
          <w:szCs w:val="23"/>
        </w:rPr>
      </w:pPr>
    </w:p>
    <w:p w14:paraId="55CDDB34" w14:textId="77777777" w:rsidR="007058B5" w:rsidRDefault="007058B5" w:rsidP="007058B5">
      <w:pPr>
        <w:pStyle w:val="Default"/>
        <w:ind w:left="720"/>
        <w:rPr>
          <w:sz w:val="23"/>
          <w:szCs w:val="23"/>
        </w:rPr>
      </w:pPr>
      <w:r>
        <w:rPr>
          <w:sz w:val="23"/>
          <w:szCs w:val="23"/>
        </w:rPr>
        <w:t xml:space="preserve">4) Enhance the review processes for research projects involving canines, felines, and NHPs to require stronger evidence addressing why no other species can be used in the proposed research, more detailed and independent literature reviews, independent statistical review, and more rigorous assessment of animal harms versus human benefits of the research (to address NASEM iii and iv, above). </w:t>
      </w:r>
    </w:p>
    <w:p w14:paraId="555F479F" w14:textId="77777777" w:rsidR="007058B5" w:rsidRDefault="007058B5" w:rsidP="007058B5">
      <w:pPr>
        <w:pStyle w:val="Default"/>
        <w:rPr>
          <w:sz w:val="23"/>
          <w:szCs w:val="23"/>
        </w:rPr>
      </w:pPr>
    </w:p>
    <w:p w14:paraId="434B8C4F" w14:textId="77777777" w:rsidR="007058B5" w:rsidRDefault="007058B5" w:rsidP="007058B5">
      <w:pPr>
        <w:pStyle w:val="Default"/>
        <w:ind w:left="720"/>
        <w:rPr>
          <w:sz w:val="23"/>
          <w:szCs w:val="23"/>
        </w:rPr>
      </w:pPr>
      <w:r>
        <w:rPr>
          <w:sz w:val="23"/>
          <w:szCs w:val="23"/>
        </w:rPr>
        <w:t xml:space="preserve">5) Establish a memorandum of understanding with NCATS to promote the use of new tissue on a chip technology to replace the use of animals in VA research (to address NASEM ii, above). </w:t>
      </w:r>
    </w:p>
    <w:p w14:paraId="44527B9B" w14:textId="77777777" w:rsidR="007058B5" w:rsidRDefault="007058B5" w:rsidP="007058B5">
      <w:pPr>
        <w:pStyle w:val="Default"/>
        <w:rPr>
          <w:sz w:val="23"/>
          <w:szCs w:val="23"/>
        </w:rPr>
      </w:pPr>
    </w:p>
    <w:p w14:paraId="2B5CB909" w14:textId="77777777" w:rsidR="007058B5" w:rsidRDefault="007058B5" w:rsidP="007058B5">
      <w:pPr>
        <w:pStyle w:val="Default"/>
        <w:ind w:left="720"/>
        <w:rPr>
          <w:sz w:val="23"/>
          <w:szCs w:val="23"/>
        </w:rPr>
      </w:pPr>
      <w:r>
        <w:rPr>
          <w:sz w:val="23"/>
          <w:szCs w:val="23"/>
        </w:rPr>
        <w:t xml:space="preserve">6) Join the Interagency Coordinating Committee on the Validation of Alternative Models in order to learn from other agencies and reduce duplication of effort (to address NASEM ii, above). </w:t>
      </w:r>
    </w:p>
    <w:p w14:paraId="1F334BF0" w14:textId="77777777" w:rsidR="007058B5" w:rsidRDefault="007058B5" w:rsidP="007058B5">
      <w:pPr>
        <w:pStyle w:val="Default"/>
        <w:rPr>
          <w:sz w:val="23"/>
          <w:szCs w:val="23"/>
        </w:rPr>
      </w:pPr>
    </w:p>
    <w:p w14:paraId="2D00FEE4" w14:textId="77777777" w:rsidR="007058B5" w:rsidRDefault="007058B5" w:rsidP="007058B5">
      <w:pPr>
        <w:pStyle w:val="Default"/>
        <w:ind w:left="720"/>
        <w:rPr>
          <w:sz w:val="23"/>
          <w:szCs w:val="23"/>
        </w:rPr>
      </w:pPr>
      <w:r>
        <w:rPr>
          <w:sz w:val="23"/>
          <w:szCs w:val="23"/>
        </w:rPr>
        <w:t>7) Evaluate and test different approaches to reducing or eliminating the use of canines, felines, and NHPs in VA research, including but not limited to:</w:t>
      </w:r>
    </w:p>
    <w:p w14:paraId="0DF4FC79" w14:textId="1A3F3025" w:rsidR="007058B5" w:rsidRDefault="007058B5" w:rsidP="00280D81">
      <w:pPr>
        <w:pStyle w:val="Default"/>
        <w:ind w:left="1440"/>
        <w:rPr>
          <w:sz w:val="23"/>
          <w:szCs w:val="23"/>
        </w:rPr>
      </w:pPr>
      <w:r>
        <w:rPr>
          <w:sz w:val="23"/>
          <w:szCs w:val="23"/>
        </w:rPr>
        <w:t xml:space="preserve">a. Develop mechanisms to allow VA facilities to establish affiliation agreements with the Department of Defense, veterinary schools, and other qualified entities to support transitioning research studies to companion animals with spontaneous or accidental Veteran-relevant conditions (to address NASEM i, above). </w:t>
      </w:r>
    </w:p>
    <w:p w14:paraId="0A866FF9" w14:textId="77777777" w:rsidR="007058B5" w:rsidRDefault="007058B5" w:rsidP="007058B5">
      <w:pPr>
        <w:pStyle w:val="Default"/>
        <w:ind w:left="1440"/>
        <w:rPr>
          <w:sz w:val="23"/>
          <w:szCs w:val="23"/>
        </w:rPr>
      </w:pPr>
      <w:r>
        <w:rPr>
          <w:sz w:val="23"/>
          <w:szCs w:val="23"/>
        </w:rPr>
        <w:t xml:space="preserve">b. Fund studies of the use of tissue culture, organoids, and other related approaches, to replace the use of canines, felines, and NHPs in research (to address NASEM ii, above). </w:t>
      </w:r>
    </w:p>
    <w:p w14:paraId="78C5B270" w14:textId="450B5AAE" w:rsidR="007058B5" w:rsidRPr="007058B5" w:rsidRDefault="007058B5" w:rsidP="007058B5">
      <w:pPr>
        <w:pStyle w:val="Default"/>
        <w:ind w:left="1440"/>
        <w:rPr>
          <w:sz w:val="23"/>
          <w:szCs w:val="23"/>
        </w:rPr>
      </w:pPr>
      <w:r>
        <w:rPr>
          <w:sz w:val="23"/>
          <w:szCs w:val="23"/>
        </w:rPr>
        <w:t xml:space="preserve">c. Fund studies of the use of computer simulations and related approaches to replace the use of canines, felines, and NHPs in research (to address NASEM ii, above). </w:t>
      </w:r>
    </w:p>
    <w:p w14:paraId="535B58E4" w14:textId="77777777" w:rsidR="007058B5" w:rsidRDefault="007058B5" w:rsidP="007058B5">
      <w:pPr>
        <w:pStyle w:val="Default"/>
        <w:ind w:left="1440"/>
        <w:rPr>
          <w:sz w:val="23"/>
          <w:szCs w:val="23"/>
        </w:rPr>
      </w:pPr>
      <w:r>
        <w:rPr>
          <w:sz w:val="23"/>
          <w:szCs w:val="23"/>
        </w:rPr>
        <w:t xml:space="preserve">d. Fund studies to transition research involving canines, felines, and NHPs into human subjects when ethical and feasible (to address NASEM ii, above). </w:t>
      </w:r>
    </w:p>
    <w:p w14:paraId="726DF360" w14:textId="77777777" w:rsidR="007058B5" w:rsidRDefault="007058B5" w:rsidP="007058B5">
      <w:pPr>
        <w:pStyle w:val="Default"/>
        <w:ind w:left="1440"/>
        <w:rPr>
          <w:sz w:val="23"/>
          <w:szCs w:val="23"/>
        </w:rPr>
      </w:pPr>
      <w:r>
        <w:rPr>
          <w:sz w:val="23"/>
          <w:szCs w:val="23"/>
        </w:rPr>
        <w:t xml:space="preserve">e. Provide education and mentoring to investigators on the use of alternatives to the use of canines, felines, and NHPs (to address NASEM ii, above). </w:t>
      </w:r>
    </w:p>
    <w:p w14:paraId="7F1E8DD3" w14:textId="77777777" w:rsidR="007058B5" w:rsidRDefault="007058B5" w:rsidP="007058B5">
      <w:pPr>
        <w:pStyle w:val="Default"/>
        <w:rPr>
          <w:sz w:val="23"/>
          <w:szCs w:val="23"/>
        </w:rPr>
      </w:pPr>
      <w:r>
        <w:rPr>
          <w:b/>
          <w:bCs/>
          <w:sz w:val="23"/>
          <w:szCs w:val="23"/>
        </w:rPr>
        <w:t>Timeline and specific actions</w:t>
      </w:r>
      <w:r>
        <w:rPr>
          <w:sz w:val="23"/>
          <w:szCs w:val="23"/>
        </w:rPr>
        <w:t xml:space="preserve">: </w:t>
      </w:r>
    </w:p>
    <w:p w14:paraId="5233E3D8" w14:textId="77777777" w:rsidR="007058B5" w:rsidRDefault="007058B5" w:rsidP="007058B5">
      <w:pPr>
        <w:pStyle w:val="Default"/>
        <w:rPr>
          <w:sz w:val="23"/>
          <w:szCs w:val="23"/>
        </w:rPr>
      </w:pPr>
      <w:r>
        <w:rPr>
          <w:sz w:val="23"/>
          <w:szCs w:val="23"/>
        </w:rPr>
        <w:t xml:space="preserve">Year 1: </w:t>
      </w:r>
    </w:p>
    <w:p w14:paraId="2BB8A99D" w14:textId="77777777" w:rsidR="007058B5" w:rsidRDefault="007058B5" w:rsidP="007058B5">
      <w:pPr>
        <w:pStyle w:val="Default"/>
        <w:rPr>
          <w:sz w:val="23"/>
          <w:szCs w:val="23"/>
        </w:rPr>
      </w:pPr>
      <w:r>
        <w:rPr>
          <w:sz w:val="23"/>
          <w:szCs w:val="23"/>
        </w:rPr>
        <w:t xml:space="preserve">1) Establish the Executive Committee and Working Group. </w:t>
      </w:r>
    </w:p>
    <w:p w14:paraId="664FC533" w14:textId="77777777" w:rsidR="007058B5" w:rsidRDefault="007058B5" w:rsidP="007058B5">
      <w:pPr>
        <w:pStyle w:val="Default"/>
        <w:rPr>
          <w:sz w:val="23"/>
          <w:szCs w:val="23"/>
        </w:rPr>
      </w:pPr>
      <w:r>
        <w:rPr>
          <w:sz w:val="23"/>
          <w:szCs w:val="23"/>
        </w:rPr>
        <w:t xml:space="preserve">2) Develop an education and mentoring plan for VA investigators. </w:t>
      </w:r>
    </w:p>
    <w:p w14:paraId="1D4D1537" w14:textId="77777777" w:rsidR="007058B5" w:rsidRDefault="007058B5" w:rsidP="007058B5">
      <w:pPr>
        <w:pStyle w:val="Default"/>
        <w:rPr>
          <w:sz w:val="23"/>
          <w:szCs w:val="23"/>
        </w:rPr>
      </w:pPr>
      <w:r>
        <w:rPr>
          <w:sz w:val="23"/>
          <w:szCs w:val="23"/>
        </w:rPr>
        <w:t xml:space="preserve">3) Plan changes to review processes as outlined in Strategy 4 (above). </w:t>
      </w:r>
    </w:p>
    <w:p w14:paraId="313390BC" w14:textId="77777777" w:rsidR="007058B5" w:rsidRDefault="007058B5" w:rsidP="007058B5">
      <w:pPr>
        <w:pStyle w:val="Default"/>
        <w:rPr>
          <w:sz w:val="23"/>
          <w:szCs w:val="23"/>
        </w:rPr>
      </w:pPr>
      <w:r>
        <w:rPr>
          <w:sz w:val="23"/>
          <w:szCs w:val="23"/>
        </w:rPr>
        <w:t xml:space="preserve">4) Develop a plan to evaluate and test different Strategies 7a. through 7e. (above). </w:t>
      </w:r>
    </w:p>
    <w:p w14:paraId="22444727" w14:textId="77777777" w:rsidR="007058B5" w:rsidRDefault="007058B5" w:rsidP="007058B5">
      <w:pPr>
        <w:pStyle w:val="Default"/>
        <w:rPr>
          <w:sz w:val="23"/>
          <w:szCs w:val="23"/>
        </w:rPr>
      </w:pPr>
      <w:r>
        <w:rPr>
          <w:sz w:val="23"/>
          <w:szCs w:val="23"/>
        </w:rPr>
        <w:t xml:space="preserve">5) Establish connections with other Federal agencies to allow coordination of efforts to eliminate or reduce the use of canines, felines, and NHPs, across all agencies (Strategies 5 and 6, above). </w:t>
      </w:r>
    </w:p>
    <w:p w14:paraId="306A6841" w14:textId="77777777" w:rsidR="007058B5" w:rsidRDefault="007058B5" w:rsidP="007058B5">
      <w:pPr>
        <w:pStyle w:val="Default"/>
        <w:rPr>
          <w:sz w:val="23"/>
          <w:szCs w:val="23"/>
        </w:rPr>
      </w:pPr>
      <w:r>
        <w:rPr>
          <w:sz w:val="23"/>
          <w:szCs w:val="23"/>
        </w:rPr>
        <w:lastRenderedPageBreak/>
        <w:t xml:space="preserve">6) Contract with an independent organization to evaluate the program and provide a final report to the Secretary. </w:t>
      </w:r>
    </w:p>
    <w:p w14:paraId="7D2E4B38" w14:textId="77777777" w:rsidR="007058B5" w:rsidRDefault="007058B5" w:rsidP="007058B5">
      <w:pPr>
        <w:pStyle w:val="Default"/>
        <w:rPr>
          <w:sz w:val="23"/>
          <w:szCs w:val="23"/>
        </w:rPr>
      </w:pPr>
    </w:p>
    <w:p w14:paraId="740899BA" w14:textId="77777777" w:rsidR="007058B5" w:rsidRDefault="007058B5" w:rsidP="007058B5">
      <w:pPr>
        <w:pStyle w:val="Default"/>
        <w:rPr>
          <w:sz w:val="23"/>
          <w:szCs w:val="23"/>
        </w:rPr>
      </w:pPr>
      <w:r>
        <w:rPr>
          <w:sz w:val="23"/>
          <w:szCs w:val="23"/>
        </w:rPr>
        <w:t xml:space="preserve">Years </w:t>
      </w:r>
      <w:proofErr w:type="gramStart"/>
      <w:r>
        <w:rPr>
          <w:sz w:val="23"/>
          <w:szCs w:val="23"/>
        </w:rPr>
        <w:t>2-4;</w:t>
      </w:r>
      <w:proofErr w:type="gramEnd"/>
      <w:r>
        <w:rPr>
          <w:sz w:val="23"/>
          <w:szCs w:val="23"/>
        </w:rPr>
        <w:t xml:space="preserve"> </w:t>
      </w:r>
    </w:p>
    <w:p w14:paraId="08FE747A" w14:textId="77777777" w:rsidR="007058B5" w:rsidRDefault="007058B5" w:rsidP="007058B5">
      <w:pPr>
        <w:pStyle w:val="Default"/>
        <w:rPr>
          <w:sz w:val="23"/>
          <w:szCs w:val="23"/>
        </w:rPr>
      </w:pPr>
      <w:r>
        <w:rPr>
          <w:sz w:val="23"/>
          <w:szCs w:val="23"/>
        </w:rPr>
        <w:t xml:space="preserve">1) Implement education and mentoring plan. </w:t>
      </w:r>
    </w:p>
    <w:p w14:paraId="24C72232" w14:textId="77777777" w:rsidR="007058B5" w:rsidRDefault="007058B5" w:rsidP="007058B5">
      <w:pPr>
        <w:pStyle w:val="Default"/>
        <w:rPr>
          <w:sz w:val="23"/>
          <w:szCs w:val="23"/>
        </w:rPr>
      </w:pPr>
      <w:r>
        <w:rPr>
          <w:sz w:val="23"/>
          <w:szCs w:val="23"/>
        </w:rPr>
        <w:t xml:space="preserve">2) Implement changes in review processes as outlined in Strategy 4 (above). </w:t>
      </w:r>
    </w:p>
    <w:p w14:paraId="0677A2A6" w14:textId="77777777" w:rsidR="007058B5" w:rsidRDefault="007058B5" w:rsidP="007058B5">
      <w:pPr>
        <w:pStyle w:val="Default"/>
        <w:rPr>
          <w:sz w:val="23"/>
          <w:szCs w:val="23"/>
        </w:rPr>
      </w:pPr>
      <w:r>
        <w:rPr>
          <w:sz w:val="23"/>
          <w:szCs w:val="23"/>
        </w:rPr>
        <w:t xml:space="preserve">3) Begin implementation of candidate strategies for reducing or eliminating the use of canines, felines, and NHPs, Strategy 7a. through 7e. </w:t>
      </w:r>
    </w:p>
    <w:p w14:paraId="36A75C8C" w14:textId="77777777" w:rsidR="007058B5" w:rsidRDefault="007058B5" w:rsidP="007058B5">
      <w:pPr>
        <w:pStyle w:val="Default"/>
        <w:rPr>
          <w:sz w:val="23"/>
          <w:szCs w:val="23"/>
        </w:rPr>
      </w:pPr>
      <w:r>
        <w:rPr>
          <w:sz w:val="23"/>
          <w:szCs w:val="23"/>
        </w:rPr>
        <w:t xml:space="preserve">4) Evaluate the outcomes of different strategies tested annually. </w:t>
      </w:r>
    </w:p>
    <w:p w14:paraId="4D964113" w14:textId="77777777" w:rsidR="007058B5" w:rsidRDefault="007058B5" w:rsidP="007058B5">
      <w:pPr>
        <w:pStyle w:val="Default"/>
        <w:rPr>
          <w:sz w:val="23"/>
          <w:szCs w:val="23"/>
        </w:rPr>
      </w:pPr>
      <w:r>
        <w:rPr>
          <w:sz w:val="23"/>
          <w:szCs w:val="23"/>
        </w:rPr>
        <w:t xml:space="preserve">5) Work with other Federal Agencies to coordinate efforts and reduce the use of canines, felines, and NHPs. </w:t>
      </w:r>
    </w:p>
    <w:p w14:paraId="184B440E" w14:textId="77777777" w:rsidR="007058B5" w:rsidRDefault="007058B5" w:rsidP="007058B5">
      <w:pPr>
        <w:pStyle w:val="Default"/>
        <w:rPr>
          <w:sz w:val="23"/>
          <w:szCs w:val="23"/>
        </w:rPr>
      </w:pPr>
      <w:r>
        <w:rPr>
          <w:sz w:val="23"/>
          <w:szCs w:val="23"/>
        </w:rPr>
        <w:t xml:space="preserve">6) Identify additional potential strategies for evaluation. </w:t>
      </w:r>
    </w:p>
    <w:p w14:paraId="1A7E91DF" w14:textId="77777777" w:rsidR="007058B5" w:rsidRDefault="007058B5" w:rsidP="007058B5">
      <w:pPr>
        <w:pStyle w:val="Default"/>
        <w:rPr>
          <w:sz w:val="23"/>
          <w:szCs w:val="23"/>
        </w:rPr>
      </w:pPr>
    </w:p>
    <w:p w14:paraId="339C2183" w14:textId="04AEE81D" w:rsidR="007058B5" w:rsidRPr="00280D81" w:rsidRDefault="007058B5" w:rsidP="007058B5">
      <w:pPr>
        <w:rPr>
          <w:rFonts w:ascii="Arial" w:hAnsi="Arial" w:cs="Arial"/>
        </w:rPr>
      </w:pPr>
      <w:r w:rsidRPr="00280D81">
        <w:rPr>
          <w:rFonts w:ascii="Arial" w:hAnsi="Arial" w:cs="Arial"/>
          <w:sz w:val="23"/>
          <w:szCs w:val="23"/>
        </w:rPr>
        <w:t>Year 5: ORD conducts a review of the program and its outcomes, and provides a report to the Secretary of VA.</w:t>
      </w:r>
    </w:p>
    <w:sectPr w:rsidR="007058B5" w:rsidRPr="00280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B5"/>
    <w:rsid w:val="00154A21"/>
    <w:rsid w:val="00280D81"/>
    <w:rsid w:val="00383475"/>
    <w:rsid w:val="007058B5"/>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BAAE"/>
  <w15:chartTrackingRefBased/>
  <w15:docId w15:val="{53DDEDD6-7594-43D9-9C6A-715DDE24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8B5"/>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7058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8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1254</Words>
  <Characters>7036</Characters>
  <Application>Microsoft Office Word</Application>
  <DocSecurity>0</DocSecurity>
  <Lines>219</Lines>
  <Paragraphs>159</Paragraphs>
  <ScaleCrop>false</ScaleCrop>
  <HeadingPairs>
    <vt:vector size="2" baseType="variant">
      <vt:variant>
        <vt:lpstr>Title</vt:lpstr>
      </vt:variant>
      <vt:variant>
        <vt:i4>1</vt:i4>
      </vt:variant>
    </vt:vector>
  </HeadingPairs>
  <TitlesOfParts>
    <vt:vector size="1" baseType="lpstr">
      <vt:lpstr>VA's Five-Year Plan for Reducing Research with Sensitive Species</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 Five-Year Plan for Reducing Research with Sensitive Species</dc:title>
  <dc:subject>VA's Five-Year Plan for Reducing Research with Sensitive Species</dc:subject>
  <dc:creator>Richerson, Joan T.</dc:creator>
  <cp:keywords>VA's Five-Year Plan for Reducing Research with Sensitive Species</cp:keywords>
  <dc:description/>
  <cp:lastModifiedBy>Rivera, Portia T</cp:lastModifiedBy>
  <cp:revision>2</cp:revision>
  <dcterms:created xsi:type="dcterms:W3CDTF">2021-04-30T19:21:00Z</dcterms:created>
  <dcterms:modified xsi:type="dcterms:W3CDTF">2021-05-24T13:24:00Z</dcterms:modified>
</cp:coreProperties>
</file>