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1F4" w:rsidRPr="00D15F9B" w:rsidRDefault="00E271F4" w:rsidP="00E271F4">
      <w:pPr>
        <w:jc w:val="center"/>
        <w:rPr>
          <w:rFonts w:ascii="Arial" w:hAnsi="Arial" w:cs="Arial"/>
          <w:smallCaps/>
          <w:sz w:val="32"/>
          <w:szCs w:val="32"/>
        </w:rPr>
      </w:pPr>
      <w:bookmarkStart w:id="0" w:name="OLE_LINK1"/>
      <w:bookmarkStart w:id="1" w:name="OLE_LINK2"/>
      <w:r w:rsidRPr="00D15F9B">
        <w:rPr>
          <w:rFonts w:ascii="Arial" w:hAnsi="Arial" w:cs="Arial"/>
          <w:smallCaps/>
          <w:sz w:val="32"/>
          <w:szCs w:val="32"/>
        </w:rPr>
        <w:t>Instructions for Completion of the</w:t>
      </w:r>
    </w:p>
    <w:p w:rsidR="00E271F4" w:rsidRPr="00D15F9B" w:rsidRDefault="00E271F4" w:rsidP="00E271F4">
      <w:pPr>
        <w:jc w:val="center"/>
        <w:rPr>
          <w:rFonts w:ascii="Arial" w:hAnsi="Arial" w:cs="Arial"/>
          <w:b/>
          <w:bCs/>
          <w:smallCaps/>
          <w:sz w:val="32"/>
          <w:szCs w:val="32"/>
        </w:rPr>
      </w:pPr>
      <w:r w:rsidRPr="00D15F9B">
        <w:rPr>
          <w:rFonts w:ascii="Arial" w:hAnsi="Arial" w:cs="Arial"/>
          <w:b/>
          <w:sz w:val="32"/>
          <w:szCs w:val="32"/>
        </w:rPr>
        <w:t xml:space="preserve">ACORP </w:t>
      </w:r>
      <w:r w:rsidRPr="00D15F9B">
        <w:rPr>
          <w:rFonts w:ascii="Arial" w:hAnsi="Arial" w:cs="Arial"/>
          <w:b/>
          <w:smallCaps/>
          <w:sz w:val="32"/>
          <w:szCs w:val="32"/>
        </w:rPr>
        <w:t>Appendix</w:t>
      </w:r>
      <w:r w:rsidRPr="00D15F9B">
        <w:rPr>
          <w:b/>
          <w:sz w:val="32"/>
          <w:szCs w:val="32"/>
        </w:rPr>
        <w:t xml:space="preserve"> </w:t>
      </w:r>
      <w:r w:rsidRPr="00D15F9B">
        <w:rPr>
          <w:rFonts w:ascii="Arial" w:hAnsi="Arial" w:cs="Arial"/>
          <w:b/>
          <w:bCs/>
          <w:sz w:val="32"/>
          <w:szCs w:val="32"/>
        </w:rPr>
        <w:t xml:space="preserve">8 -- </w:t>
      </w:r>
      <w:r w:rsidRPr="00D15F9B">
        <w:rPr>
          <w:rFonts w:ascii="Arial" w:hAnsi="Arial" w:cs="Arial"/>
          <w:b/>
          <w:bCs/>
          <w:smallCaps/>
          <w:sz w:val="32"/>
          <w:szCs w:val="32"/>
        </w:rPr>
        <w:t>Use of Explosive Agent(s)</w:t>
      </w:r>
    </w:p>
    <w:p w:rsidR="00E271F4" w:rsidRPr="00D15F9B" w:rsidRDefault="00E271F4" w:rsidP="00E271F4">
      <w:pPr>
        <w:jc w:val="center"/>
        <w:rPr>
          <w:rFonts w:ascii="Arial" w:hAnsi="Arial" w:cs="Arial"/>
          <w:b/>
          <w:bCs/>
          <w:smallCaps/>
          <w:sz w:val="32"/>
          <w:szCs w:val="32"/>
        </w:rPr>
      </w:pPr>
      <w:r w:rsidRPr="00D15F9B">
        <w:rPr>
          <w:rFonts w:ascii="Arial" w:hAnsi="Arial" w:cs="Arial"/>
          <w:b/>
          <w:bCs/>
          <w:smallCaps/>
          <w:sz w:val="32"/>
          <w:szCs w:val="32"/>
        </w:rPr>
        <w:t>within the VMU or in Animals</w:t>
      </w:r>
    </w:p>
    <w:p w:rsidR="00E271F4" w:rsidRPr="00D15F9B" w:rsidRDefault="00C410C6" w:rsidP="00C410C6">
      <w:pPr>
        <w:pStyle w:val="Title"/>
        <w:tabs>
          <w:tab w:val="center" w:pos="4968"/>
          <w:tab w:val="left" w:pos="7680"/>
        </w:tabs>
        <w:jc w:val="left"/>
        <w:rPr>
          <w:smallCaps/>
          <w:sz w:val="32"/>
          <w:szCs w:val="32"/>
        </w:rPr>
      </w:pPr>
      <w:r>
        <w:rPr>
          <w:smallCaps/>
          <w:sz w:val="32"/>
          <w:szCs w:val="32"/>
        </w:rPr>
        <w:tab/>
      </w:r>
      <w:r w:rsidR="00E271F4" w:rsidRPr="00D15F9B">
        <w:rPr>
          <w:smallCaps/>
          <w:sz w:val="32"/>
          <w:szCs w:val="32"/>
        </w:rPr>
        <w:t>(ACORP App. 8 Instructions)</w:t>
      </w:r>
      <w:r>
        <w:rPr>
          <w:smallCaps/>
          <w:sz w:val="32"/>
          <w:szCs w:val="32"/>
        </w:rPr>
        <w:tab/>
      </w:r>
      <w:bookmarkStart w:id="2" w:name="_GoBack"/>
      <w:bookmarkEnd w:id="2"/>
    </w:p>
    <w:p w:rsidR="00E271F4" w:rsidRDefault="00D15F9B" w:rsidP="00E271F4">
      <w:pPr>
        <w:jc w:val="center"/>
        <w:rPr>
          <w:rFonts w:ascii="Arial" w:hAnsi="Arial" w:cs="Arial"/>
          <w:b/>
          <w:bCs/>
          <w:smallCaps/>
          <w:sz w:val="24"/>
          <w:szCs w:val="24"/>
        </w:rPr>
      </w:pPr>
      <w:r>
        <w:rPr>
          <w:rFonts w:ascii="Arial" w:hAnsi="Arial" w:cs="Arial"/>
          <w:b/>
          <w:bCs/>
          <w:smallCaps/>
        </w:rPr>
        <w:t>Version 4</w:t>
      </w:r>
    </w:p>
    <w:p w:rsidR="00E271F4" w:rsidRDefault="00E271F4" w:rsidP="00E271F4">
      <w:pPr>
        <w:rPr>
          <w:rFonts w:ascii="Arial" w:hAnsi="Arial" w:cs="Arial"/>
          <w:b/>
          <w:bCs/>
          <w:smallCaps/>
          <w:sz w:val="24"/>
          <w:szCs w:val="24"/>
        </w:rPr>
      </w:pPr>
    </w:p>
    <w:bookmarkEnd w:id="0"/>
    <w:bookmarkEnd w:id="1"/>
    <w:p w:rsidR="00823F43" w:rsidRDefault="00823F43" w:rsidP="00823F43">
      <w:pPr>
        <w:rPr>
          <w:rFonts w:ascii="Arial" w:hAnsi="Arial" w:cs="Arial"/>
          <w:iCs/>
          <w:sz w:val="22"/>
          <w:szCs w:val="22"/>
        </w:rPr>
      </w:pPr>
      <w:r>
        <w:rPr>
          <w:rFonts w:ascii="Arial" w:hAnsi="Arial" w:cs="Arial"/>
          <w:iCs/>
          <w:sz w:val="22"/>
          <w:szCs w:val="22"/>
        </w:rPr>
        <w:t>These instructions provide detailed guidance on completing Appendix 8 of the ACORP, and are referenced to the numbers of the items in Appendix 8.</w:t>
      </w:r>
      <w:r w:rsidRPr="005222CF">
        <w:t xml:space="preserve"> </w:t>
      </w:r>
      <w:r>
        <w:rPr>
          <w:rFonts w:ascii="Arial" w:hAnsi="Arial" w:cs="Arial"/>
          <w:iCs/>
          <w:sz w:val="22"/>
          <w:szCs w:val="22"/>
        </w:rPr>
        <w:t>ONLY complete this</w:t>
      </w:r>
      <w:r w:rsidRPr="005222CF">
        <w:rPr>
          <w:rFonts w:ascii="Arial" w:hAnsi="Arial" w:cs="Arial"/>
          <w:iCs/>
          <w:sz w:val="22"/>
          <w:szCs w:val="22"/>
        </w:rPr>
        <w:t xml:space="preserve"> appendi</w:t>
      </w:r>
      <w:r>
        <w:rPr>
          <w:rFonts w:ascii="Arial" w:hAnsi="Arial" w:cs="Arial"/>
          <w:iCs/>
          <w:sz w:val="22"/>
          <w:szCs w:val="22"/>
        </w:rPr>
        <w:t>x</w:t>
      </w:r>
      <w:r w:rsidRPr="005222CF">
        <w:rPr>
          <w:rFonts w:ascii="Arial" w:hAnsi="Arial" w:cs="Arial"/>
          <w:iCs/>
          <w:sz w:val="22"/>
          <w:szCs w:val="22"/>
        </w:rPr>
        <w:t xml:space="preserve"> </w:t>
      </w:r>
      <w:r>
        <w:rPr>
          <w:rFonts w:ascii="Arial" w:hAnsi="Arial" w:cs="Arial"/>
          <w:iCs/>
          <w:sz w:val="22"/>
          <w:szCs w:val="22"/>
        </w:rPr>
        <w:t xml:space="preserve">if it is </w:t>
      </w:r>
      <w:r w:rsidRPr="005222CF">
        <w:rPr>
          <w:rFonts w:ascii="Arial" w:hAnsi="Arial" w:cs="Arial"/>
          <w:iCs/>
          <w:sz w:val="22"/>
          <w:szCs w:val="22"/>
        </w:rPr>
        <w:t xml:space="preserve">relevant to the protocol being </w:t>
      </w:r>
      <w:r>
        <w:rPr>
          <w:rFonts w:ascii="Arial" w:hAnsi="Arial" w:cs="Arial"/>
          <w:iCs/>
          <w:sz w:val="22"/>
          <w:szCs w:val="22"/>
        </w:rPr>
        <w:t>submitted for review</w:t>
      </w:r>
      <w:r w:rsidRPr="005222CF">
        <w:rPr>
          <w:rFonts w:ascii="Arial" w:hAnsi="Arial" w:cs="Arial"/>
          <w:iCs/>
          <w:sz w:val="22"/>
          <w:szCs w:val="22"/>
        </w:rPr>
        <w:t>.</w:t>
      </w:r>
    </w:p>
    <w:p w:rsidR="00823F43" w:rsidRDefault="00823F43" w:rsidP="00823F43">
      <w:pPr>
        <w:rPr>
          <w:rFonts w:ascii="Arial" w:hAnsi="Arial" w:cs="Arial"/>
          <w:bCs/>
          <w:sz w:val="22"/>
          <w:szCs w:val="22"/>
        </w:rPr>
      </w:pPr>
    </w:p>
    <w:p w:rsidR="00823F43" w:rsidRDefault="00823F43" w:rsidP="00823F43">
      <w:pPr>
        <w:ind w:left="360" w:right="576" w:hanging="360"/>
        <w:rPr>
          <w:rFonts w:ascii="Arial" w:hAnsi="Arial" w:cs="Arial"/>
          <w:bCs/>
          <w:sz w:val="22"/>
          <w:szCs w:val="22"/>
        </w:rPr>
      </w:pPr>
      <w:r>
        <w:rPr>
          <w:rFonts w:ascii="Arial" w:hAnsi="Arial" w:cs="Arial"/>
          <w:bCs/>
          <w:sz w:val="22"/>
          <w:szCs w:val="22"/>
        </w:rPr>
        <w:t xml:space="preserve">Always use the most recent version of Appendix 8 of the ACORP, available at </w:t>
      </w:r>
      <w:hyperlink r:id="rId7" w:history="1">
        <w:r w:rsidRPr="004346B5">
          <w:rPr>
            <w:rStyle w:val="Hyperlink"/>
            <w:rFonts w:ascii="Arial" w:hAnsi="Arial" w:cs="Arial"/>
            <w:bCs/>
            <w:sz w:val="22"/>
            <w:szCs w:val="22"/>
          </w:rPr>
          <w:t>http://www.research.va.gov/programs/animal_research/</w:t>
        </w:r>
      </w:hyperlink>
      <w:r>
        <w:rPr>
          <w:rStyle w:val="Hyperlink"/>
          <w:rFonts w:ascii="Arial" w:hAnsi="Arial" w:cs="Arial"/>
          <w:bCs/>
          <w:sz w:val="22"/>
          <w:szCs w:val="22"/>
        </w:rPr>
        <w:t>,</w:t>
      </w:r>
      <w:r>
        <w:rPr>
          <w:rFonts w:ascii="Arial" w:hAnsi="Arial" w:cs="Arial"/>
          <w:bCs/>
          <w:sz w:val="22"/>
          <w:szCs w:val="22"/>
        </w:rPr>
        <w:t xml:space="preserve"> when preparing a protocol for IACUC review.  In general, no protocol should be submitted to the IACUC on an older version of the ACORP forms more than 1 year after a newer one becomes available, although protocols already approved by the IACUC less than 1 year after release of a newer version will be accepted for Just-In-Time review for three years after approval by the IACUC.</w:t>
      </w:r>
    </w:p>
    <w:p w:rsidR="00823F43" w:rsidRDefault="00823F43" w:rsidP="00823F43">
      <w:pPr>
        <w:ind w:right="576"/>
        <w:rPr>
          <w:rFonts w:ascii="Arial" w:hAnsi="Arial" w:cs="Arial"/>
          <w:bCs/>
          <w:sz w:val="22"/>
          <w:szCs w:val="22"/>
        </w:rPr>
      </w:pPr>
    </w:p>
    <w:p w:rsidR="00823F43" w:rsidRDefault="00823F43" w:rsidP="00823F43">
      <w:pPr>
        <w:ind w:right="576"/>
        <w:rPr>
          <w:rFonts w:ascii="Arial" w:hAnsi="Arial" w:cs="Arial"/>
          <w:bCs/>
          <w:sz w:val="22"/>
          <w:szCs w:val="22"/>
        </w:rPr>
      </w:pPr>
      <w:r>
        <w:rPr>
          <w:rFonts w:ascii="Arial" w:hAnsi="Arial" w:cs="Arial"/>
          <w:bCs/>
          <w:sz w:val="22"/>
          <w:szCs w:val="22"/>
        </w:rPr>
        <w:t xml:space="preserve">General Instructions:  </w:t>
      </w:r>
    </w:p>
    <w:p w:rsidR="00823F43" w:rsidRDefault="00823F43" w:rsidP="00823F43">
      <w:pPr>
        <w:ind w:left="720" w:right="576" w:hanging="360"/>
        <w:rPr>
          <w:rFonts w:ascii="Arial" w:hAnsi="Arial" w:cs="Arial"/>
          <w:sz w:val="22"/>
          <w:szCs w:val="22"/>
        </w:rPr>
      </w:pPr>
      <w:r>
        <w:rPr>
          <w:rFonts w:ascii="Arial" w:hAnsi="Arial" w:cs="Arial"/>
          <w:bCs/>
          <w:sz w:val="22"/>
          <w:szCs w:val="22"/>
        </w:rPr>
        <w:t>Answer each question by completing the table provided or entering the requested information at the ►</w:t>
      </w:r>
      <w:r>
        <w:rPr>
          <w:rFonts w:ascii="Arial" w:hAnsi="Arial" w:cs="Arial"/>
          <w:sz w:val="22"/>
          <w:szCs w:val="22"/>
        </w:rPr>
        <w:t xml:space="preserve">. Enter “N/A” for any item that does not apply to this protocol.  The sections of the form will expand as needed. </w:t>
      </w:r>
    </w:p>
    <w:p w:rsidR="00823F43" w:rsidRDefault="00823F43" w:rsidP="00823F43">
      <w:pPr>
        <w:ind w:left="720" w:right="576" w:hanging="360"/>
        <w:rPr>
          <w:rFonts w:ascii="Arial" w:hAnsi="Arial" w:cs="Arial"/>
          <w:sz w:val="22"/>
          <w:szCs w:val="22"/>
        </w:rPr>
      </w:pPr>
      <w:r>
        <w:rPr>
          <w:rFonts w:ascii="Arial" w:hAnsi="Arial" w:cs="Arial"/>
          <w:sz w:val="22"/>
          <w:szCs w:val="22"/>
        </w:rPr>
        <w:t xml:space="preserve">To check an item, type “X” inside the (   ) provided.  </w:t>
      </w:r>
    </w:p>
    <w:p w:rsidR="00823F43" w:rsidRDefault="00823F43" w:rsidP="00823F43">
      <w:pPr>
        <w:ind w:left="720" w:right="576" w:hanging="360"/>
        <w:rPr>
          <w:rFonts w:ascii="Arial" w:hAnsi="Arial" w:cs="Arial"/>
          <w:sz w:val="22"/>
          <w:szCs w:val="22"/>
        </w:rPr>
      </w:pPr>
      <w:r w:rsidRPr="00542A2B">
        <w:rPr>
          <w:rFonts w:ascii="Arial" w:hAnsi="Arial" w:cs="Arial"/>
          <w:sz w:val="22"/>
          <w:szCs w:val="22"/>
        </w:rPr>
        <w:t>Define each abbreviation the first time it is used.</w:t>
      </w:r>
    </w:p>
    <w:p w:rsidR="00823F43" w:rsidRDefault="00823F43" w:rsidP="00823F43">
      <w:pPr>
        <w:ind w:left="720" w:right="576" w:hanging="360"/>
        <w:rPr>
          <w:rFonts w:ascii="Arial" w:hAnsi="Arial" w:cs="Arial"/>
          <w:sz w:val="22"/>
          <w:szCs w:val="22"/>
        </w:rPr>
      </w:pPr>
      <w:r>
        <w:rPr>
          <w:rFonts w:ascii="Arial" w:hAnsi="Arial" w:cs="Arial"/>
          <w:sz w:val="22"/>
          <w:szCs w:val="22"/>
        </w:rPr>
        <w:t>Rows may be added to any of the tables in the form – to add a row to the bottom of a table</w:t>
      </w:r>
      <w:r w:rsidRPr="00FC47F3">
        <w:rPr>
          <w:rFonts w:ascii="Arial" w:hAnsi="Arial" w:cs="Arial"/>
          <w:sz w:val="22"/>
          <w:szCs w:val="22"/>
        </w:rPr>
        <w:t xml:space="preserve">, position the cursor in the far right cell of the bottom row, and press &lt;Tab&gt;.  </w:t>
      </w:r>
      <w:r>
        <w:rPr>
          <w:rFonts w:ascii="Arial" w:hAnsi="Arial" w:cs="Arial"/>
          <w:sz w:val="22"/>
          <w:szCs w:val="22"/>
        </w:rPr>
        <w:t xml:space="preserve"> All Table Tools available when the cursor is placed in the table are also active.</w:t>
      </w:r>
    </w:p>
    <w:p w:rsidR="00823F43" w:rsidRDefault="00823F43" w:rsidP="00823F43">
      <w:pPr>
        <w:rPr>
          <w:rFonts w:ascii="Arial" w:hAnsi="Arial" w:cs="Arial"/>
          <w:b/>
          <w:iCs/>
          <w:sz w:val="22"/>
          <w:szCs w:val="22"/>
        </w:rPr>
      </w:pPr>
    </w:p>
    <w:p w:rsidR="00823F43" w:rsidRDefault="00823F43" w:rsidP="00823F43">
      <w:pPr>
        <w:rPr>
          <w:rFonts w:ascii="Arial" w:hAnsi="Arial" w:cs="Arial"/>
          <w:iCs/>
          <w:sz w:val="22"/>
          <w:szCs w:val="22"/>
        </w:rPr>
      </w:pPr>
      <w:r>
        <w:rPr>
          <w:rFonts w:ascii="Arial" w:hAnsi="Arial" w:cs="Arial"/>
          <w:b/>
          <w:iCs/>
          <w:sz w:val="22"/>
          <w:szCs w:val="22"/>
        </w:rPr>
        <w:t xml:space="preserve">Header for Every Page.  </w:t>
      </w:r>
      <w:r>
        <w:rPr>
          <w:rFonts w:ascii="Arial" w:hAnsi="Arial" w:cs="Arial"/>
          <w:iCs/>
          <w:sz w:val="22"/>
          <w:szCs w:val="22"/>
        </w:rPr>
        <w:t>Enter the same information in the header for this appendix as is entered in the header for the Main Body of the ACORP to which it applies, to identify each page of this Appendix with that ACORP:</w:t>
      </w:r>
    </w:p>
    <w:p w:rsidR="00823F43" w:rsidRDefault="00823F43" w:rsidP="00823F43">
      <w:pPr>
        <w:ind w:left="720" w:hanging="360"/>
        <w:rPr>
          <w:rFonts w:ascii="Arial" w:hAnsi="Arial" w:cs="Arial"/>
          <w:iCs/>
          <w:sz w:val="22"/>
          <w:szCs w:val="22"/>
        </w:rPr>
      </w:pPr>
      <w:r w:rsidRPr="00DA1527">
        <w:rPr>
          <w:rFonts w:ascii="Arial" w:hAnsi="Arial" w:cs="Arial"/>
          <w:iCs/>
          <w:sz w:val="22"/>
          <w:szCs w:val="22"/>
        </w:rPr>
        <w:t>P</w:t>
      </w:r>
      <w:r>
        <w:rPr>
          <w:rFonts w:ascii="Arial" w:hAnsi="Arial" w:cs="Arial"/>
          <w:iCs/>
          <w:sz w:val="22"/>
          <w:szCs w:val="22"/>
        </w:rPr>
        <w:t>I’s last name</w:t>
      </w:r>
    </w:p>
    <w:p w:rsidR="00823F43" w:rsidRDefault="00823F43" w:rsidP="00823F43">
      <w:pPr>
        <w:ind w:left="720" w:hanging="360"/>
        <w:rPr>
          <w:rFonts w:ascii="Arial" w:hAnsi="Arial" w:cs="Arial"/>
          <w:iCs/>
          <w:sz w:val="22"/>
          <w:szCs w:val="22"/>
        </w:rPr>
      </w:pPr>
      <w:r>
        <w:rPr>
          <w:rFonts w:ascii="Arial" w:hAnsi="Arial" w:cs="Arial"/>
          <w:iCs/>
          <w:sz w:val="22"/>
          <w:szCs w:val="22"/>
        </w:rPr>
        <w:t>P</w:t>
      </w:r>
      <w:r w:rsidRPr="00DA1527">
        <w:rPr>
          <w:rFonts w:ascii="Arial" w:hAnsi="Arial" w:cs="Arial"/>
          <w:iCs/>
          <w:sz w:val="22"/>
          <w:szCs w:val="22"/>
        </w:rPr>
        <w:t>rotocol No.</w:t>
      </w:r>
      <w:r>
        <w:rPr>
          <w:rFonts w:ascii="Arial" w:hAnsi="Arial" w:cs="Arial"/>
          <w:iCs/>
          <w:sz w:val="22"/>
          <w:szCs w:val="22"/>
        </w:rPr>
        <w:t xml:space="preserve"> Assigned by the IACUC – a unique identifier for each protocol, to be assigned locally by the IACUC of Record to the protocol as a whole</w:t>
      </w:r>
    </w:p>
    <w:p w:rsidR="00823F43" w:rsidRDefault="00823F43" w:rsidP="00823F43">
      <w:pPr>
        <w:ind w:left="720" w:hanging="360"/>
        <w:rPr>
          <w:rFonts w:ascii="Arial" w:hAnsi="Arial" w:cs="Arial"/>
          <w:iCs/>
          <w:sz w:val="22"/>
          <w:szCs w:val="22"/>
        </w:rPr>
      </w:pPr>
      <w:r>
        <w:rPr>
          <w:rFonts w:ascii="Arial" w:hAnsi="Arial" w:cs="Arial"/>
          <w:iCs/>
          <w:sz w:val="22"/>
          <w:szCs w:val="22"/>
        </w:rPr>
        <w:t xml:space="preserve">Official Date of Approval – the date of final and unequivocal approval by the IACUC, as defined in the PHS Assurance, which determines the due dates of the first annual continuing review and the triennial </w:t>
      </w:r>
      <w:r w:rsidRPr="00DA1527">
        <w:rPr>
          <w:rFonts w:ascii="Arial" w:hAnsi="Arial" w:cs="Arial"/>
          <w:i/>
          <w:iCs/>
          <w:sz w:val="22"/>
          <w:szCs w:val="22"/>
        </w:rPr>
        <w:t>de novo</w:t>
      </w:r>
      <w:r>
        <w:rPr>
          <w:rFonts w:ascii="Arial" w:hAnsi="Arial" w:cs="Arial"/>
          <w:iCs/>
          <w:sz w:val="22"/>
          <w:szCs w:val="22"/>
        </w:rPr>
        <w:t xml:space="preserve"> review, as applicable</w:t>
      </w:r>
    </w:p>
    <w:p w:rsidR="00823F43" w:rsidRDefault="00823F43" w:rsidP="00E271F4">
      <w:pPr>
        <w:rPr>
          <w:rFonts w:ascii="Arial" w:hAnsi="Arial" w:cs="Arial"/>
          <w:b/>
          <w:bCs/>
          <w:smallCaps/>
          <w:sz w:val="24"/>
          <w:szCs w:val="24"/>
        </w:rPr>
      </w:pPr>
    </w:p>
    <w:p w:rsidR="00E271F4" w:rsidRPr="00A6432C" w:rsidRDefault="00E271F4" w:rsidP="00E271F4">
      <w:pPr>
        <w:numPr>
          <w:ilvl w:val="0"/>
          <w:numId w:val="1"/>
        </w:numPr>
        <w:tabs>
          <w:tab w:val="left" w:pos="360"/>
        </w:tabs>
        <w:rPr>
          <w:rFonts w:ascii="Arial" w:hAnsi="Arial" w:cs="Arial"/>
          <w:sz w:val="22"/>
          <w:szCs w:val="22"/>
        </w:rPr>
      </w:pPr>
      <w:r>
        <w:rPr>
          <w:rFonts w:ascii="Arial" w:hAnsi="Arial" w:cs="Arial"/>
          <w:b/>
          <w:sz w:val="22"/>
          <w:szCs w:val="22"/>
        </w:rPr>
        <w:t>Full n</w:t>
      </w:r>
      <w:r w:rsidRPr="00A6432C">
        <w:rPr>
          <w:rFonts w:ascii="Arial" w:hAnsi="Arial" w:cs="Arial"/>
          <w:b/>
          <w:sz w:val="22"/>
          <w:szCs w:val="22"/>
        </w:rPr>
        <w:t>ame(s) of Principal Investigator(s).</w:t>
      </w:r>
      <w:r w:rsidRPr="00A6432C">
        <w:rPr>
          <w:rFonts w:ascii="Arial" w:hAnsi="Arial" w:cs="Arial"/>
          <w:sz w:val="22"/>
          <w:szCs w:val="22"/>
        </w:rPr>
        <w:t xml:space="preserve">  Give the full name(s) of the Principal Investigator(s), who are responsible for the use of animals on this protocol.</w:t>
      </w:r>
    </w:p>
    <w:p w:rsidR="00E271F4" w:rsidRDefault="00E271F4" w:rsidP="00E271F4">
      <w:pPr>
        <w:tabs>
          <w:tab w:val="left" w:pos="360"/>
        </w:tabs>
        <w:ind w:left="360"/>
        <w:rPr>
          <w:rFonts w:ascii="Arial" w:hAnsi="Arial" w:cs="Arial"/>
          <w:sz w:val="22"/>
          <w:szCs w:val="22"/>
        </w:rPr>
      </w:pPr>
    </w:p>
    <w:p w:rsidR="00E271F4" w:rsidRDefault="00E271F4" w:rsidP="00E271F4">
      <w:pPr>
        <w:numPr>
          <w:ilvl w:val="0"/>
          <w:numId w:val="1"/>
        </w:numPr>
        <w:tabs>
          <w:tab w:val="left" w:pos="360"/>
        </w:tabs>
        <w:rPr>
          <w:rFonts w:ascii="Arial" w:hAnsi="Arial" w:cs="Arial"/>
          <w:sz w:val="22"/>
          <w:szCs w:val="22"/>
        </w:rPr>
      </w:pPr>
      <w:r>
        <w:rPr>
          <w:rFonts w:ascii="Arial" w:hAnsi="Arial" w:cs="Arial"/>
          <w:b/>
          <w:sz w:val="22"/>
          <w:szCs w:val="22"/>
        </w:rPr>
        <w:t>Explosive agents to be u</w:t>
      </w:r>
      <w:r w:rsidRPr="001F28A8">
        <w:rPr>
          <w:rFonts w:ascii="Arial" w:hAnsi="Arial" w:cs="Arial"/>
          <w:b/>
          <w:sz w:val="22"/>
          <w:szCs w:val="22"/>
        </w:rPr>
        <w:t>se</w:t>
      </w:r>
      <w:r>
        <w:rPr>
          <w:rFonts w:ascii="Arial" w:hAnsi="Arial" w:cs="Arial"/>
          <w:b/>
          <w:sz w:val="22"/>
          <w:szCs w:val="22"/>
        </w:rPr>
        <w:t xml:space="preserve">d.  </w:t>
      </w:r>
      <w:r>
        <w:rPr>
          <w:rFonts w:ascii="Arial" w:hAnsi="Arial" w:cs="Arial"/>
          <w:sz w:val="22"/>
          <w:szCs w:val="22"/>
        </w:rPr>
        <w:t>Identify each explosive agent to be used on this protocol, either within the animal facility (regardless of whether the agents will be administered to animals) or administered to animals (regardless of where the administration to the animals will be performed).</w:t>
      </w:r>
    </w:p>
    <w:p w:rsidR="00E271F4" w:rsidRDefault="00E271F4" w:rsidP="00E271F4">
      <w:pPr>
        <w:tabs>
          <w:tab w:val="left" w:pos="360"/>
        </w:tabs>
        <w:ind w:left="360"/>
        <w:rPr>
          <w:rFonts w:ascii="Arial" w:hAnsi="Arial" w:cs="Arial"/>
          <w:sz w:val="22"/>
          <w:szCs w:val="22"/>
        </w:rPr>
      </w:pPr>
    </w:p>
    <w:p w:rsidR="00E271F4" w:rsidRDefault="00E271F4" w:rsidP="00E271F4">
      <w:pPr>
        <w:numPr>
          <w:ilvl w:val="1"/>
          <w:numId w:val="1"/>
        </w:numPr>
        <w:tabs>
          <w:tab w:val="left" w:pos="360"/>
        </w:tabs>
        <w:rPr>
          <w:rFonts w:ascii="Arial" w:hAnsi="Arial" w:cs="Arial"/>
          <w:sz w:val="22"/>
          <w:szCs w:val="22"/>
        </w:rPr>
      </w:pPr>
      <w:r>
        <w:rPr>
          <w:rFonts w:ascii="Arial" w:hAnsi="Arial" w:cs="Arial"/>
          <w:sz w:val="22"/>
          <w:szCs w:val="22"/>
        </w:rPr>
        <w:t>Identify the explosive agents – Give all names used in this ACORP to refer to each agent, then describe the MSDS on file for each agent, including the primary name of the agent shown on the MSDS, the CAS registry number for the agent, and the location of the MSDS on file.</w:t>
      </w:r>
    </w:p>
    <w:p w:rsidR="00E271F4" w:rsidRDefault="00E271F4" w:rsidP="00E271F4">
      <w:pPr>
        <w:tabs>
          <w:tab w:val="left" w:pos="360"/>
        </w:tabs>
        <w:ind w:left="720"/>
        <w:rPr>
          <w:rFonts w:ascii="Arial" w:hAnsi="Arial" w:cs="Arial"/>
          <w:sz w:val="22"/>
          <w:szCs w:val="22"/>
        </w:rPr>
      </w:pPr>
    </w:p>
    <w:p w:rsidR="00E271F4" w:rsidRDefault="00E271F4" w:rsidP="00E271F4">
      <w:pPr>
        <w:numPr>
          <w:ilvl w:val="1"/>
          <w:numId w:val="1"/>
        </w:numPr>
        <w:tabs>
          <w:tab w:val="left" w:pos="360"/>
        </w:tabs>
        <w:rPr>
          <w:rFonts w:ascii="Arial" w:hAnsi="Arial" w:cs="Arial"/>
          <w:sz w:val="22"/>
          <w:szCs w:val="22"/>
        </w:rPr>
      </w:pPr>
      <w:r>
        <w:rPr>
          <w:rFonts w:ascii="Arial" w:hAnsi="Arial" w:cs="Arial"/>
          <w:sz w:val="22"/>
          <w:szCs w:val="22"/>
        </w:rPr>
        <w:t>Locations where the explosive agents will be used – Identify the building(s) and room number(s) where each of the agents will be used, indicating whether each location is within the VMU or outside of the VMU.</w:t>
      </w:r>
    </w:p>
    <w:p w:rsidR="00E271F4" w:rsidRDefault="00E271F4" w:rsidP="00E271F4">
      <w:pPr>
        <w:tabs>
          <w:tab w:val="left" w:pos="360"/>
        </w:tabs>
        <w:ind w:left="720"/>
        <w:rPr>
          <w:rFonts w:ascii="Arial" w:hAnsi="Arial" w:cs="Arial"/>
          <w:sz w:val="22"/>
          <w:szCs w:val="22"/>
        </w:rPr>
      </w:pPr>
    </w:p>
    <w:p w:rsidR="00E271F4" w:rsidRDefault="00E271F4" w:rsidP="00E271F4">
      <w:pPr>
        <w:numPr>
          <w:ilvl w:val="1"/>
          <w:numId w:val="1"/>
        </w:numPr>
        <w:tabs>
          <w:tab w:val="left" w:pos="360"/>
        </w:tabs>
        <w:rPr>
          <w:rFonts w:ascii="Arial" w:hAnsi="Arial" w:cs="Arial"/>
          <w:sz w:val="22"/>
          <w:szCs w:val="22"/>
        </w:rPr>
      </w:pPr>
      <w:r w:rsidRPr="001D506C">
        <w:rPr>
          <w:rFonts w:ascii="Arial" w:hAnsi="Arial" w:cs="Arial"/>
          <w:sz w:val="22"/>
          <w:szCs w:val="22"/>
        </w:rPr>
        <w:lastRenderedPageBreak/>
        <w:t xml:space="preserve">Procedure(s) to be performed – The use of explosive agents in the animal research facility is prohibited unless the IACUC and the Subcommittee on Research Safety (SRS) grant local approval. That approval should only be granted under exceptional circumstances, when scientific reasons preclude the use of </w:t>
      </w:r>
      <w:r>
        <w:rPr>
          <w:rFonts w:ascii="Arial" w:hAnsi="Arial" w:cs="Arial"/>
          <w:sz w:val="22"/>
          <w:szCs w:val="22"/>
        </w:rPr>
        <w:t>non-explosive alternatives.  Describe the reasons that this use of explosive agents should be approved.</w:t>
      </w:r>
    </w:p>
    <w:p w:rsidR="00E271F4" w:rsidRPr="001D506C" w:rsidRDefault="00E271F4" w:rsidP="00E271F4">
      <w:pPr>
        <w:tabs>
          <w:tab w:val="left" w:pos="360"/>
        </w:tabs>
        <w:ind w:left="720"/>
        <w:rPr>
          <w:rFonts w:ascii="Arial" w:hAnsi="Arial" w:cs="Arial"/>
          <w:sz w:val="22"/>
          <w:szCs w:val="22"/>
        </w:rPr>
      </w:pPr>
    </w:p>
    <w:p w:rsidR="00E271F4" w:rsidRDefault="00E271F4" w:rsidP="00E271F4">
      <w:pPr>
        <w:numPr>
          <w:ilvl w:val="1"/>
          <w:numId w:val="1"/>
        </w:numPr>
        <w:tabs>
          <w:tab w:val="left" w:pos="360"/>
        </w:tabs>
        <w:rPr>
          <w:rFonts w:ascii="Arial" w:hAnsi="Arial" w:cs="Arial"/>
          <w:sz w:val="22"/>
          <w:szCs w:val="22"/>
        </w:rPr>
      </w:pPr>
      <w:r>
        <w:rPr>
          <w:rFonts w:ascii="Arial" w:hAnsi="Arial" w:cs="Arial"/>
          <w:sz w:val="22"/>
          <w:szCs w:val="22"/>
        </w:rPr>
        <w:t>Precautions to be taken to prevent explosions – B</w:t>
      </w:r>
      <w:r w:rsidRPr="00CF64D1">
        <w:rPr>
          <w:rFonts w:ascii="Arial" w:hAnsi="Arial" w:cs="Arial"/>
          <w:sz w:val="22"/>
          <w:szCs w:val="22"/>
        </w:rPr>
        <w:t xml:space="preserve">efore </w:t>
      </w:r>
      <w:r>
        <w:rPr>
          <w:rFonts w:ascii="Arial" w:hAnsi="Arial" w:cs="Arial"/>
          <w:sz w:val="22"/>
          <w:szCs w:val="22"/>
        </w:rPr>
        <w:t>a</w:t>
      </w:r>
      <w:r w:rsidRPr="00CF64D1">
        <w:rPr>
          <w:rFonts w:ascii="Arial" w:hAnsi="Arial" w:cs="Arial"/>
          <w:sz w:val="22"/>
          <w:szCs w:val="22"/>
        </w:rPr>
        <w:t>pprov</w:t>
      </w:r>
      <w:r>
        <w:rPr>
          <w:rFonts w:ascii="Arial" w:hAnsi="Arial" w:cs="Arial"/>
          <w:sz w:val="22"/>
          <w:szCs w:val="22"/>
        </w:rPr>
        <w:t>ing the ACORP, t</w:t>
      </w:r>
      <w:r w:rsidRPr="00CF64D1">
        <w:rPr>
          <w:rFonts w:ascii="Arial" w:hAnsi="Arial" w:cs="Arial"/>
          <w:sz w:val="22"/>
          <w:szCs w:val="22"/>
        </w:rPr>
        <w:t xml:space="preserve">he IACUC must ensure that all reasonable precautions to prevent explosions are </w:t>
      </w:r>
      <w:r>
        <w:rPr>
          <w:rFonts w:ascii="Arial" w:hAnsi="Arial" w:cs="Arial"/>
          <w:sz w:val="22"/>
          <w:szCs w:val="22"/>
        </w:rPr>
        <w:t>to be taken</w:t>
      </w:r>
      <w:r w:rsidRPr="00CF64D1">
        <w:rPr>
          <w:rFonts w:ascii="Arial" w:hAnsi="Arial" w:cs="Arial"/>
          <w:sz w:val="22"/>
          <w:szCs w:val="22"/>
        </w:rPr>
        <w:t xml:space="preserve">. </w:t>
      </w:r>
      <w:r>
        <w:rPr>
          <w:rFonts w:ascii="Arial" w:hAnsi="Arial" w:cs="Arial"/>
          <w:sz w:val="22"/>
          <w:szCs w:val="22"/>
        </w:rPr>
        <w:t>These precautions generally include, but need not be limited to, the following</w:t>
      </w:r>
      <w:r w:rsidRPr="00CF64D1">
        <w:rPr>
          <w:rFonts w:ascii="Arial" w:hAnsi="Arial" w:cs="Arial"/>
          <w:sz w:val="22"/>
          <w:szCs w:val="22"/>
        </w:rPr>
        <w:t>:</w:t>
      </w:r>
    </w:p>
    <w:p w:rsidR="00E271F4" w:rsidRDefault="00E271F4" w:rsidP="00E271F4">
      <w:pPr>
        <w:tabs>
          <w:tab w:val="left" w:pos="360"/>
        </w:tabs>
        <w:ind w:left="1080"/>
        <w:rPr>
          <w:rFonts w:ascii="Arial" w:hAnsi="Arial" w:cs="Arial"/>
          <w:sz w:val="22"/>
          <w:szCs w:val="22"/>
        </w:rPr>
      </w:pPr>
    </w:p>
    <w:p w:rsidR="00E271F4" w:rsidRDefault="00E271F4" w:rsidP="00E271F4">
      <w:pPr>
        <w:numPr>
          <w:ilvl w:val="2"/>
          <w:numId w:val="1"/>
        </w:numPr>
        <w:tabs>
          <w:tab w:val="left" w:pos="360"/>
        </w:tabs>
        <w:rPr>
          <w:rFonts w:ascii="Arial" w:hAnsi="Arial" w:cs="Arial"/>
          <w:sz w:val="22"/>
          <w:szCs w:val="22"/>
        </w:rPr>
      </w:pPr>
      <w:r w:rsidRPr="00CF64D1">
        <w:rPr>
          <w:rFonts w:ascii="Arial" w:hAnsi="Arial" w:cs="Arial"/>
          <w:sz w:val="22"/>
          <w:szCs w:val="22"/>
        </w:rPr>
        <w:t xml:space="preserve">Use of the agents only within a properly operating, ventilated safety hood. </w:t>
      </w:r>
    </w:p>
    <w:p w:rsidR="00E271F4" w:rsidRDefault="00E271F4" w:rsidP="00E271F4">
      <w:pPr>
        <w:numPr>
          <w:ilvl w:val="2"/>
          <w:numId w:val="1"/>
        </w:numPr>
        <w:tabs>
          <w:tab w:val="left" w:pos="360"/>
        </w:tabs>
        <w:rPr>
          <w:rFonts w:ascii="Arial" w:hAnsi="Arial" w:cs="Arial"/>
          <w:sz w:val="22"/>
          <w:szCs w:val="22"/>
        </w:rPr>
      </w:pPr>
      <w:r>
        <w:rPr>
          <w:rFonts w:ascii="Arial" w:hAnsi="Arial" w:cs="Arial"/>
          <w:sz w:val="22"/>
          <w:szCs w:val="22"/>
        </w:rPr>
        <w:t xml:space="preserve">Locating and powering </w:t>
      </w:r>
      <w:r w:rsidRPr="00CF64D1">
        <w:rPr>
          <w:rFonts w:ascii="Arial" w:hAnsi="Arial" w:cs="Arial"/>
          <w:sz w:val="22"/>
          <w:szCs w:val="22"/>
        </w:rPr>
        <w:t>outside the hood</w:t>
      </w:r>
      <w:r>
        <w:rPr>
          <w:rFonts w:ascii="Arial" w:hAnsi="Arial" w:cs="Arial"/>
          <w:sz w:val="22"/>
          <w:szCs w:val="22"/>
        </w:rPr>
        <w:t xml:space="preserve"> any</w:t>
      </w:r>
      <w:r w:rsidRPr="00CF64D1">
        <w:rPr>
          <w:rFonts w:ascii="Arial" w:hAnsi="Arial" w:cs="Arial"/>
          <w:sz w:val="22"/>
          <w:szCs w:val="22"/>
        </w:rPr>
        <w:t xml:space="preserve"> electrical equipment </w:t>
      </w:r>
      <w:r>
        <w:rPr>
          <w:rFonts w:ascii="Arial" w:hAnsi="Arial" w:cs="Arial"/>
          <w:sz w:val="22"/>
          <w:szCs w:val="22"/>
        </w:rPr>
        <w:t xml:space="preserve">to be </w:t>
      </w:r>
      <w:r w:rsidRPr="00CF64D1">
        <w:rPr>
          <w:rFonts w:ascii="Arial" w:hAnsi="Arial" w:cs="Arial"/>
          <w:sz w:val="22"/>
          <w:szCs w:val="22"/>
        </w:rPr>
        <w:t xml:space="preserve">used with such agents. </w:t>
      </w:r>
    </w:p>
    <w:p w:rsidR="00E271F4" w:rsidRPr="0087112C" w:rsidRDefault="00E271F4" w:rsidP="00E271F4">
      <w:pPr>
        <w:numPr>
          <w:ilvl w:val="2"/>
          <w:numId w:val="1"/>
        </w:numPr>
        <w:tabs>
          <w:tab w:val="left" w:pos="360"/>
        </w:tabs>
        <w:rPr>
          <w:rFonts w:ascii="Arial" w:hAnsi="Arial" w:cs="Arial"/>
          <w:sz w:val="22"/>
          <w:szCs w:val="22"/>
        </w:rPr>
      </w:pPr>
      <w:r>
        <w:rPr>
          <w:rFonts w:ascii="Arial" w:hAnsi="Arial" w:cs="Arial"/>
          <w:sz w:val="22"/>
          <w:szCs w:val="22"/>
        </w:rPr>
        <w:t>S</w:t>
      </w:r>
      <w:r w:rsidRPr="00CF64D1">
        <w:rPr>
          <w:rFonts w:ascii="Arial" w:hAnsi="Arial" w:cs="Arial"/>
          <w:sz w:val="22"/>
          <w:szCs w:val="22"/>
        </w:rPr>
        <w:t>tor</w:t>
      </w:r>
      <w:r>
        <w:rPr>
          <w:rFonts w:ascii="Arial" w:hAnsi="Arial" w:cs="Arial"/>
          <w:sz w:val="22"/>
          <w:szCs w:val="22"/>
        </w:rPr>
        <w:t xml:space="preserve">age only </w:t>
      </w:r>
      <w:r w:rsidRPr="00CF64D1">
        <w:rPr>
          <w:rFonts w:ascii="Arial" w:hAnsi="Arial" w:cs="Arial"/>
          <w:sz w:val="22"/>
          <w:szCs w:val="22"/>
        </w:rPr>
        <w:t>in an explosion</w:t>
      </w:r>
      <w:r>
        <w:rPr>
          <w:rFonts w:ascii="Arial" w:hAnsi="Arial" w:cs="Arial"/>
          <w:sz w:val="22"/>
          <w:szCs w:val="22"/>
        </w:rPr>
        <w:t>-</w:t>
      </w:r>
      <w:r w:rsidRPr="00CF64D1">
        <w:rPr>
          <w:rFonts w:ascii="Arial" w:hAnsi="Arial" w:cs="Arial"/>
          <w:sz w:val="22"/>
          <w:szCs w:val="22"/>
        </w:rPr>
        <w:t>proof refrigerator</w:t>
      </w:r>
      <w:r>
        <w:rPr>
          <w:rFonts w:ascii="Arial" w:hAnsi="Arial" w:cs="Arial"/>
          <w:sz w:val="22"/>
          <w:szCs w:val="22"/>
        </w:rPr>
        <w:t xml:space="preserve"> or freezer.</w:t>
      </w:r>
    </w:p>
    <w:p w:rsidR="00E271F4" w:rsidRDefault="00E271F4" w:rsidP="00E271F4">
      <w:pPr>
        <w:numPr>
          <w:ilvl w:val="2"/>
          <w:numId w:val="1"/>
        </w:numPr>
        <w:tabs>
          <w:tab w:val="left" w:pos="360"/>
        </w:tabs>
        <w:rPr>
          <w:rFonts w:ascii="Arial" w:hAnsi="Arial" w:cs="Arial"/>
          <w:sz w:val="22"/>
          <w:szCs w:val="22"/>
        </w:rPr>
      </w:pPr>
      <w:r>
        <w:rPr>
          <w:rFonts w:ascii="Arial" w:hAnsi="Arial" w:cs="Arial"/>
          <w:sz w:val="22"/>
          <w:szCs w:val="22"/>
        </w:rPr>
        <w:t xml:space="preserve">Provisions </w:t>
      </w:r>
      <w:r w:rsidRPr="003B3F24">
        <w:rPr>
          <w:rFonts w:ascii="Arial" w:hAnsi="Arial" w:cs="Arial"/>
          <w:sz w:val="22"/>
          <w:szCs w:val="22"/>
        </w:rPr>
        <w:t>to ensure that all potentially explosive fumes have dissipated from animal carcasses and other objects</w:t>
      </w:r>
      <w:r>
        <w:rPr>
          <w:rFonts w:ascii="Arial" w:hAnsi="Arial" w:cs="Arial"/>
          <w:sz w:val="22"/>
          <w:szCs w:val="22"/>
        </w:rPr>
        <w:t xml:space="preserve"> before</w:t>
      </w:r>
      <w:r w:rsidRPr="003B3F24">
        <w:rPr>
          <w:rFonts w:ascii="Arial" w:hAnsi="Arial" w:cs="Arial"/>
          <w:sz w:val="22"/>
          <w:szCs w:val="22"/>
        </w:rPr>
        <w:t xml:space="preserve"> </w:t>
      </w:r>
      <w:r>
        <w:rPr>
          <w:rFonts w:ascii="Arial" w:hAnsi="Arial" w:cs="Arial"/>
          <w:sz w:val="22"/>
          <w:szCs w:val="22"/>
        </w:rPr>
        <w:t xml:space="preserve">they are </w:t>
      </w:r>
      <w:r w:rsidRPr="003B3F24">
        <w:rPr>
          <w:rFonts w:ascii="Arial" w:hAnsi="Arial" w:cs="Arial"/>
          <w:sz w:val="22"/>
          <w:szCs w:val="22"/>
        </w:rPr>
        <w:t>place</w:t>
      </w:r>
      <w:r>
        <w:rPr>
          <w:rFonts w:ascii="Arial" w:hAnsi="Arial" w:cs="Arial"/>
          <w:sz w:val="22"/>
          <w:szCs w:val="22"/>
        </w:rPr>
        <w:t>d</w:t>
      </w:r>
      <w:r w:rsidRPr="003B3F24">
        <w:rPr>
          <w:rFonts w:ascii="Arial" w:hAnsi="Arial" w:cs="Arial"/>
          <w:sz w:val="22"/>
          <w:szCs w:val="22"/>
        </w:rPr>
        <w:t xml:space="preserve"> in</w:t>
      </w:r>
      <w:r>
        <w:rPr>
          <w:rFonts w:ascii="Arial" w:hAnsi="Arial" w:cs="Arial"/>
          <w:sz w:val="22"/>
          <w:szCs w:val="22"/>
        </w:rPr>
        <w:t>to</w:t>
      </w:r>
      <w:r w:rsidRPr="003B3F24">
        <w:rPr>
          <w:rFonts w:ascii="Arial" w:hAnsi="Arial" w:cs="Arial"/>
          <w:sz w:val="22"/>
          <w:szCs w:val="22"/>
        </w:rPr>
        <w:t xml:space="preserve"> storage.</w:t>
      </w:r>
    </w:p>
    <w:p w:rsidR="00E271F4" w:rsidRPr="003B3F24" w:rsidRDefault="00E271F4" w:rsidP="00E271F4">
      <w:pPr>
        <w:numPr>
          <w:ilvl w:val="2"/>
          <w:numId w:val="1"/>
        </w:numPr>
        <w:tabs>
          <w:tab w:val="left" w:pos="360"/>
        </w:tabs>
        <w:rPr>
          <w:rFonts w:ascii="Arial" w:hAnsi="Arial" w:cs="Arial"/>
          <w:sz w:val="22"/>
          <w:szCs w:val="22"/>
        </w:rPr>
      </w:pPr>
      <w:r>
        <w:rPr>
          <w:rFonts w:ascii="Arial" w:hAnsi="Arial" w:cs="Arial"/>
          <w:bCs/>
          <w:sz w:val="22"/>
          <w:szCs w:val="22"/>
        </w:rPr>
        <w:t>No disposal of empty c</w:t>
      </w:r>
      <w:r w:rsidRPr="00CF64D1">
        <w:rPr>
          <w:rFonts w:ascii="Arial" w:hAnsi="Arial" w:cs="Arial"/>
          <w:sz w:val="22"/>
          <w:szCs w:val="22"/>
        </w:rPr>
        <w:t>ontainers o</w:t>
      </w:r>
      <w:r>
        <w:rPr>
          <w:rFonts w:ascii="Arial" w:hAnsi="Arial" w:cs="Arial"/>
          <w:sz w:val="22"/>
          <w:szCs w:val="22"/>
        </w:rPr>
        <w:t>r</w:t>
      </w:r>
      <w:r w:rsidRPr="00CF64D1">
        <w:rPr>
          <w:rFonts w:ascii="Arial" w:hAnsi="Arial" w:cs="Arial"/>
          <w:sz w:val="22"/>
          <w:szCs w:val="22"/>
        </w:rPr>
        <w:t xml:space="preserve"> </w:t>
      </w:r>
      <w:r>
        <w:rPr>
          <w:rFonts w:ascii="Arial" w:hAnsi="Arial" w:cs="Arial"/>
          <w:sz w:val="22"/>
          <w:szCs w:val="22"/>
        </w:rPr>
        <w:t xml:space="preserve">other </w:t>
      </w:r>
      <w:r w:rsidRPr="00CF64D1">
        <w:rPr>
          <w:rFonts w:ascii="Arial" w:hAnsi="Arial" w:cs="Arial"/>
          <w:sz w:val="22"/>
          <w:szCs w:val="22"/>
        </w:rPr>
        <w:t xml:space="preserve">items containing traces of </w:t>
      </w:r>
      <w:r>
        <w:rPr>
          <w:rFonts w:ascii="Arial" w:hAnsi="Arial" w:cs="Arial"/>
          <w:sz w:val="22"/>
          <w:szCs w:val="22"/>
        </w:rPr>
        <w:t xml:space="preserve">any explosive </w:t>
      </w:r>
      <w:r w:rsidRPr="00CF64D1">
        <w:rPr>
          <w:rFonts w:ascii="Arial" w:hAnsi="Arial" w:cs="Arial"/>
          <w:sz w:val="22"/>
          <w:szCs w:val="22"/>
        </w:rPr>
        <w:t xml:space="preserve">agent by incineration or in receptacles </w:t>
      </w:r>
      <w:r>
        <w:rPr>
          <w:rFonts w:ascii="Arial" w:hAnsi="Arial" w:cs="Arial"/>
          <w:sz w:val="22"/>
          <w:szCs w:val="22"/>
        </w:rPr>
        <w:t xml:space="preserve">for waste that is </w:t>
      </w:r>
      <w:r w:rsidRPr="00CF64D1">
        <w:rPr>
          <w:rFonts w:ascii="Arial" w:hAnsi="Arial" w:cs="Arial"/>
          <w:sz w:val="22"/>
          <w:szCs w:val="22"/>
        </w:rPr>
        <w:t>ordinarily incinerated.</w:t>
      </w:r>
    </w:p>
    <w:p w:rsidR="00E271F4" w:rsidRDefault="00E271F4" w:rsidP="00E271F4">
      <w:pPr>
        <w:tabs>
          <w:tab w:val="left" w:pos="360"/>
        </w:tabs>
        <w:ind w:left="720"/>
        <w:rPr>
          <w:rFonts w:ascii="Arial" w:hAnsi="Arial" w:cs="Arial"/>
          <w:sz w:val="22"/>
          <w:szCs w:val="22"/>
        </w:rPr>
      </w:pPr>
    </w:p>
    <w:p w:rsidR="00E271F4" w:rsidRDefault="00E271F4" w:rsidP="00E271F4">
      <w:pPr>
        <w:numPr>
          <w:ilvl w:val="1"/>
          <w:numId w:val="1"/>
        </w:numPr>
        <w:tabs>
          <w:tab w:val="left" w:pos="360"/>
        </w:tabs>
        <w:rPr>
          <w:rFonts w:ascii="Arial" w:hAnsi="Arial" w:cs="Arial"/>
          <w:sz w:val="22"/>
          <w:szCs w:val="22"/>
        </w:rPr>
      </w:pPr>
      <w:r>
        <w:rPr>
          <w:rFonts w:ascii="Arial" w:hAnsi="Arial" w:cs="Arial"/>
          <w:sz w:val="22"/>
          <w:szCs w:val="22"/>
        </w:rPr>
        <w:t xml:space="preserve">Period of use.  Define the period of time over which the explosive agent(s) may be used, by specifying the earliest and latest dates on which they may be used:  </w:t>
      </w:r>
    </w:p>
    <w:p w:rsidR="00E271F4" w:rsidRDefault="00E271F4" w:rsidP="00E271F4">
      <w:pPr>
        <w:tabs>
          <w:tab w:val="left" w:pos="360"/>
        </w:tabs>
        <w:ind w:left="720"/>
        <w:rPr>
          <w:rFonts w:ascii="Arial" w:hAnsi="Arial" w:cs="Arial"/>
          <w:sz w:val="22"/>
          <w:szCs w:val="22"/>
        </w:rPr>
      </w:pPr>
    </w:p>
    <w:p w:rsidR="00E271F4" w:rsidRDefault="00E271F4" w:rsidP="00E271F4">
      <w:pPr>
        <w:numPr>
          <w:ilvl w:val="1"/>
          <w:numId w:val="1"/>
        </w:numPr>
        <w:tabs>
          <w:tab w:val="left" w:pos="360"/>
        </w:tabs>
        <w:rPr>
          <w:rFonts w:ascii="Arial" w:hAnsi="Arial" w:cs="Arial"/>
          <w:sz w:val="22"/>
          <w:szCs w:val="22"/>
        </w:rPr>
      </w:pPr>
      <w:r>
        <w:rPr>
          <w:rFonts w:ascii="Arial" w:hAnsi="Arial" w:cs="Arial"/>
          <w:sz w:val="22"/>
          <w:szCs w:val="22"/>
        </w:rPr>
        <w:t>Animals that will be administered explosive agents – Describe any animals that will be administered any of the explosive agents listed in Item 2.a, above, noting the species, the range of average weights of individual animals to be treated, and the approximate number of animal subjects that will be administered the explosive agent(s).  Note that any explosive agents to be administered to animals on this protocol must also be documented in Appendix 3.</w:t>
      </w:r>
    </w:p>
    <w:p w:rsidR="00E271F4" w:rsidRDefault="00E271F4" w:rsidP="00E271F4">
      <w:pPr>
        <w:tabs>
          <w:tab w:val="left" w:pos="360"/>
        </w:tabs>
        <w:ind w:left="360"/>
        <w:rPr>
          <w:rFonts w:ascii="Arial" w:hAnsi="Arial" w:cs="Arial"/>
          <w:sz w:val="22"/>
          <w:szCs w:val="22"/>
        </w:rPr>
      </w:pPr>
    </w:p>
    <w:p w:rsidR="00E271F4" w:rsidRDefault="00E271F4" w:rsidP="00E271F4">
      <w:pPr>
        <w:numPr>
          <w:ilvl w:val="0"/>
          <w:numId w:val="1"/>
        </w:numPr>
        <w:tabs>
          <w:tab w:val="left" w:pos="360"/>
        </w:tabs>
        <w:rPr>
          <w:rFonts w:ascii="Arial" w:hAnsi="Arial" w:cs="Arial"/>
          <w:sz w:val="22"/>
          <w:szCs w:val="22"/>
        </w:rPr>
      </w:pPr>
      <w:r>
        <w:rPr>
          <w:rFonts w:ascii="Arial" w:hAnsi="Arial" w:cs="Arial"/>
          <w:b/>
          <w:sz w:val="22"/>
          <w:szCs w:val="22"/>
        </w:rPr>
        <w:t>Personnel.</w:t>
      </w:r>
      <w:r>
        <w:rPr>
          <w:rFonts w:ascii="Arial" w:hAnsi="Arial" w:cs="Arial"/>
          <w:sz w:val="22"/>
          <w:szCs w:val="22"/>
        </w:rPr>
        <w:t xml:space="preserve">  Identify each </w:t>
      </w:r>
      <w:r w:rsidRPr="0047062E">
        <w:rPr>
          <w:rFonts w:ascii="Arial" w:hAnsi="Arial" w:cs="Arial"/>
          <w:sz w:val="22"/>
          <w:szCs w:val="22"/>
        </w:rPr>
        <w:t xml:space="preserve">individual who will </w:t>
      </w:r>
      <w:r>
        <w:rPr>
          <w:rFonts w:ascii="Arial" w:hAnsi="Arial" w:cs="Arial"/>
          <w:sz w:val="22"/>
          <w:szCs w:val="22"/>
        </w:rPr>
        <w:t xml:space="preserve">handle any of </w:t>
      </w:r>
      <w:r w:rsidRPr="0047062E">
        <w:rPr>
          <w:rFonts w:ascii="Arial" w:hAnsi="Arial" w:cs="Arial"/>
          <w:sz w:val="22"/>
          <w:szCs w:val="22"/>
        </w:rPr>
        <w:t>the explosive agent</w:t>
      </w:r>
      <w:r>
        <w:rPr>
          <w:rFonts w:ascii="Arial" w:hAnsi="Arial" w:cs="Arial"/>
          <w:sz w:val="22"/>
          <w:szCs w:val="22"/>
        </w:rPr>
        <w:t>s as part of this protocol, and describe the individual’s training and experience with regard to use of explosive agents</w:t>
      </w:r>
      <w:r w:rsidRPr="0047062E">
        <w:rPr>
          <w:rFonts w:ascii="Arial" w:hAnsi="Arial" w:cs="Arial"/>
          <w:sz w:val="22"/>
          <w:szCs w:val="22"/>
        </w:rPr>
        <w:t xml:space="preserve">.   Note that </w:t>
      </w:r>
      <w:r>
        <w:rPr>
          <w:rFonts w:ascii="Arial" w:hAnsi="Arial" w:cs="Arial"/>
          <w:sz w:val="22"/>
          <w:szCs w:val="22"/>
        </w:rPr>
        <w:t>any of these individuals who will be</w:t>
      </w:r>
      <w:r w:rsidRPr="0047062E">
        <w:rPr>
          <w:rFonts w:ascii="Arial" w:hAnsi="Arial" w:cs="Arial"/>
          <w:sz w:val="22"/>
          <w:szCs w:val="22"/>
        </w:rPr>
        <w:t xml:space="preserve"> involved in administ</w:t>
      </w:r>
      <w:r>
        <w:rPr>
          <w:rFonts w:ascii="Arial" w:hAnsi="Arial" w:cs="Arial"/>
          <w:sz w:val="22"/>
          <w:szCs w:val="22"/>
        </w:rPr>
        <w:t>e</w:t>
      </w:r>
      <w:r w:rsidRPr="0047062E">
        <w:rPr>
          <w:rFonts w:ascii="Arial" w:hAnsi="Arial" w:cs="Arial"/>
          <w:sz w:val="22"/>
          <w:szCs w:val="22"/>
        </w:rPr>
        <w:t>r</w:t>
      </w:r>
      <w:r>
        <w:rPr>
          <w:rFonts w:ascii="Arial" w:hAnsi="Arial" w:cs="Arial"/>
          <w:sz w:val="22"/>
          <w:szCs w:val="22"/>
        </w:rPr>
        <w:t>i</w:t>
      </w:r>
      <w:r w:rsidRPr="0047062E">
        <w:rPr>
          <w:rFonts w:ascii="Arial" w:hAnsi="Arial" w:cs="Arial"/>
          <w:sz w:val="22"/>
          <w:szCs w:val="22"/>
        </w:rPr>
        <w:t>n</w:t>
      </w:r>
      <w:r>
        <w:rPr>
          <w:rFonts w:ascii="Arial" w:hAnsi="Arial" w:cs="Arial"/>
          <w:sz w:val="22"/>
          <w:szCs w:val="22"/>
        </w:rPr>
        <w:t>g any of</w:t>
      </w:r>
      <w:r w:rsidRPr="0047062E">
        <w:rPr>
          <w:rFonts w:ascii="Arial" w:hAnsi="Arial" w:cs="Arial"/>
          <w:sz w:val="22"/>
          <w:szCs w:val="22"/>
        </w:rPr>
        <w:t xml:space="preserve"> the explosive agent(s) to animals </w:t>
      </w:r>
      <w:r>
        <w:rPr>
          <w:rFonts w:ascii="Arial" w:hAnsi="Arial" w:cs="Arial"/>
          <w:sz w:val="22"/>
          <w:szCs w:val="22"/>
        </w:rPr>
        <w:t>must also</w:t>
      </w:r>
      <w:r w:rsidRPr="0047062E">
        <w:rPr>
          <w:rFonts w:ascii="Arial" w:hAnsi="Arial" w:cs="Arial"/>
          <w:sz w:val="22"/>
          <w:szCs w:val="22"/>
        </w:rPr>
        <w:t xml:space="preserve"> be </w:t>
      </w:r>
      <w:r>
        <w:rPr>
          <w:rFonts w:ascii="Arial" w:hAnsi="Arial" w:cs="Arial"/>
          <w:sz w:val="22"/>
          <w:szCs w:val="22"/>
        </w:rPr>
        <w:t>includ</w:t>
      </w:r>
      <w:r w:rsidRPr="0047062E">
        <w:rPr>
          <w:rFonts w:ascii="Arial" w:hAnsi="Arial" w:cs="Arial"/>
          <w:sz w:val="22"/>
          <w:szCs w:val="22"/>
        </w:rPr>
        <w:t xml:space="preserve">ed in </w:t>
      </w:r>
      <w:r>
        <w:rPr>
          <w:rFonts w:ascii="Arial" w:hAnsi="Arial" w:cs="Arial"/>
          <w:sz w:val="22"/>
          <w:szCs w:val="22"/>
        </w:rPr>
        <w:t>I</w:t>
      </w:r>
      <w:r w:rsidRPr="0047062E">
        <w:rPr>
          <w:rFonts w:ascii="Arial" w:hAnsi="Arial" w:cs="Arial"/>
          <w:sz w:val="22"/>
          <w:szCs w:val="22"/>
        </w:rPr>
        <w:t>tem E of the mai</w:t>
      </w:r>
      <w:r>
        <w:rPr>
          <w:rFonts w:ascii="Arial" w:hAnsi="Arial" w:cs="Arial"/>
          <w:sz w:val="22"/>
          <w:szCs w:val="22"/>
        </w:rPr>
        <w:t>n body of the ACORP.</w:t>
      </w:r>
    </w:p>
    <w:p w:rsidR="00E271F4" w:rsidRDefault="00E271F4" w:rsidP="00E271F4">
      <w:pPr>
        <w:tabs>
          <w:tab w:val="left" w:pos="360"/>
        </w:tabs>
        <w:ind w:left="360"/>
        <w:rPr>
          <w:rFonts w:ascii="Arial" w:hAnsi="Arial" w:cs="Arial"/>
          <w:sz w:val="22"/>
          <w:szCs w:val="22"/>
        </w:rPr>
      </w:pPr>
    </w:p>
    <w:p w:rsidR="00E271F4" w:rsidRDefault="00E271F4" w:rsidP="00E271F4">
      <w:pPr>
        <w:numPr>
          <w:ilvl w:val="0"/>
          <w:numId w:val="1"/>
        </w:numPr>
        <w:tabs>
          <w:tab w:val="left" w:pos="360"/>
        </w:tabs>
        <w:rPr>
          <w:rFonts w:ascii="Arial" w:hAnsi="Arial" w:cs="Arial"/>
          <w:sz w:val="22"/>
          <w:szCs w:val="22"/>
        </w:rPr>
      </w:pPr>
      <w:r w:rsidRPr="001F28A8">
        <w:rPr>
          <w:rFonts w:ascii="Arial" w:hAnsi="Arial" w:cs="Arial"/>
          <w:b/>
          <w:sz w:val="22"/>
          <w:szCs w:val="22"/>
        </w:rPr>
        <w:t>Signatures.</w:t>
      </w:r>
      <w:r w:rsidRPr="001F28A8">
        <w:rPr>
          <w:rFonts w:ascii="Arial" w:hAnsi="Arial" w:cs="Arial"/>
          <w:sz w:val="22"/>
          <w:szCs w:val="22"/>
        </w:rPr>
        <w:t xml:space="preserve">  Provide the signatures required on the signature pages (Item Z.</w:t>
      </w:r>
      <w:r>
        <w:rPr>
          <w:rFonts w:ascii="Arial" w:hAnsi="Arial" w:cs="Arial"/>
          <w:sz w:val="22"/>
          <w:szCs w:val="22"/>
        </w:rPr>
        <w:t>8</w:t>
      </w:r>
      <w:r w:rsidRPr="001F28A8">
        <w:rPr>
          <w:rFonts w:ascii="Arial" w:hAnsi="Arial" w:cs="Arial"/>
          <w:sz w:val="22"/>
          <w:szCs w:val="22"/>
        </w:rPr>
        <w:t>) of the main body of this ACORP.</w:t>
      </w:r>
    </w:p>
    <w:p w:rsidR="00B55085" w:rsidRDefault="00AB4E0C"/>
    <w:sectPr w:rsidR="00B55085" w:rsidSect="00823F43">
      <w:headerReference w:type="default" r:id="rId8"/>
      <w:pgSz w:w="12240" w:h="15840"/>
      <w:pgMar w:top="720" w:right="1152"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66B" w:rsidRDefault="00B3766B" w:rsidP="00C410C6">
      <w:r>
        <w:separator/>
      </w:r>
    </w:p>
  </w:endnote>
  <w:endnote w:type="continuationSeparator" w:id="0">
    <w:p w:rsidR="00B3766B" w:rsidRDefault="00B3766B" w:rsidP="00C410C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66B" w:rsidRDefault="00B3766B" w:rsidP="00C410C6">
      <w:r>
        <w:separator/>
      </w:r>
    </w:p>
  </w:footnote>
  <w:footnote w:type="continuationSeparator" w:id="0">
    <w:p w:rsidR="00B3766B" w:rsidRDefault="00B3766B" w:rsidP="00C410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0C6" w:rsidRPr="00C410C6" w:rsidRDefault="00C410C6">
    <w:pPr>
      <w:pStyle w:val="Header"/>
      <w:rPr>
        <w:rFonts w:ascii="Arial" w:hAnsi="Arial" w:cs="Arial"/>
        <w:smallCaps/>
        <w:sz w:val="18"/>
        <w:szCs w:val="18"/>
      </w:rPr>
    </w:pPr>
    <w:r>
      <w:rPr>
        <w:rFonts w:ascii="Arial" w:hAnsi="Arial" w:cs="Arial"/>
        <w:smallCaps/>
        <w:sz w:val="18"/>
        <w:szCs w:val="18"/>
      </w:rPr>
      <w:t>ACORP App. 8 Instructions (Ver. 4)</w:t>
    </w:r>
  </w:p>
  <w:p w:rsidR="00C410C6" w:rsidRDefault="00C410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A0A79"/>
    <w:multiLevelType w:val="multilevel"/>
    <w:tmpl w:val="6D12C050"/>
    <w:lvl w:ilvl="0">
      <w:start w:val="1"/>
      <w:numFmt w:val="decimal"/>
      <w:lvlText w:val="%1."/>
      <w:lvlJc w:val="left"/>
      <w:pPr>
        <w:ind w:left="360" w:hanging="360"/>
      </w:pPr>
      <w:rPr>
        <w:rFonts w:ascii="Arial" w:hAnsi="Arial" w:cs="Arial" w:hint="default"/>
        <w:b w:val="0"/>
        <w:i w:val="0"/>
        <w:color w:val="auto"/>
        <w:sz w:val="22"/>
      </w:rPr>
    </w:lvl>
    <w:lvl w:ilvl="1">
      <w:start w:val="1"/>
      <w:numFmt w:val="lowerLetter"/>
      <w:lvlText w:val="%2."/>
      <w:lvlJc w:val="left"/>
      <w:pPr>
        <w:ind w:left="720" w:hanging="360"/>
      </w:pPr>
      <w:rPr>
        <w:rFonts w:ascii="Arial" w:hAnsi="Arial" w:cs="Arial" w:hint="default"/>
        <w:b w:val="0"/>
        <w:i w:val="0"/>
        <w:color w:val="auto"/>
        <w:sz w:val="22"/>
      </w:rPr>
    </w:lvl>
    <w:lvl w:ilvl="2">
      <w:start w:val="1"/>
      <w:numFmt w:val="decimal"/>
      <w:lvlText w:val="(%3)"/>
      <w:lvlJc w:val="left"/>
      <w:pPr>
        <w:ind w:left="1080" w:hanging="360"/>
      </w:pPr>
      <w:rPr>
        <w:rFonts w:ascii="Arial" w:hAnsi="Arial" w:cs="Arial" w:hint="default"/>
        <w:b w:val="0"/>
        <w:sz w:val="22"/>
        <w:szCs w:val="22"/>
      </w:rPr>
    </w:lvl>
    <w:lvl w:ilvl="3">
      <w:start w:val="1"/>
      <w:numFmt w:val="low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271F4"/>
    <w:rsid w:val="00823F43"/>
    <w:rsid w:val="008A5A76"/>
    <w:rsid w:val="00AB4E0C"/>
    <w:rsid w:val="00B20CF5"/>
    <w:rsid w:val="00B3766B"/>
    <w:rsid w:val="00BB244B"/>
    <w:rsid w:val="00C410C6"/>
    <w:rsid w:val="00D15F9B"/>
    <w:rsid w:val="00E271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1F4"/>
    <w:pPr>
      <w:autoSpaceDE w:val="0"/>
      <w:autoSpaceDN w:val="0"/>
      <w:spacing w:after="0" w:line="240" w:lineRule="auto"/>
    </w:pPr>
    <w:rPr>
      <w:rFonts w:ascii="Times New Roman" w:eastAsia="SimSu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E271F4"/>
    <w:pPr>
      <w:widowControl w:val="0"/>
      <w:jc w:val="center"/>
    </w:pPr>
    <w:rPr>
      <w:rFonts w:ascii="Arial" w:hAnsi="Arial" w:cs="Arial"/>
      <w:b/>
      <w:bCs/>
      <w:sz w:val="30"/>
      <w:szCs w:val="30"/>
    </w:rPr>
  </w:style>
  <w:style w:type="character" w:customStyle="1" w:styleId="TitleChar">
    <w:name w:val="Title Char"/>
    <w:basedOn w:val="DefaultParagraphFont"/>
    <w:link w:val="Title"/>
    <w:uiPriority w:val="99"/>
    <w:rsid w:val="00E271F4"/>
    <w:rPr>
      <w:rFonts w:ascii="Arial" w:eastAsia="SimSun" w:hAnsi="Arial" w:cs="Arial"/>
      <w:b/>
      <w:bCs/>
      <w:sz w:val="30"/>
      <w:szCs w:val="30"/>
    </w:rPr>
  </w:style>
  <w:style w:type="character" w:styleId="Hyperlink">
    <w:name w:val="Hyperlink"/>
    <w:uiPriority w:val="99"/>
    <w:rsid w:val="00823F43"/>
    <w:rPr>
      <w:rFonts w:ascii="Times New Roman" w:hAnsi="Times New Roman" w:cs="Times New Roman"/>
      <w:color w:val="0000FF"/>
      <w:u w:val="none"/>
    </w:rPr>
  </w:style>
  <w:style w:type="paragraph" w:styleId="Header">
    <w:name w:val="header"/>
    <w:basedOn w:val="Normal"/>
    <w:link w:val="HeaderChar"/>
    <w:uiPriority w:val="99"/>
    <w:unhideWhenUsed/>
    <w:rsid w:val="00C410C6"/>
    <w:pPr>
      <w:tabs>
        <w:tab w:val="center" w:pos="4680"/>
        <w:tab w:val="right" w:pos="9360"/>
      </w:tabs>
    </w:pPr>
  </w:style>
  <w:style w:type="character" w:customStyle="1" w:styleId="HeaderChar">
    <w:name w:val="Header Char"/>
    <w:basedOn w:val="DefaultParagraphFont"/>
    <w:link w:val="Header"/>
    <w:uiPriority w:val="99"/>
    <w:rsid w:val="00C410C6"/>
    <w:rPr>
      <w:rFonts w:ascii="Times New Roman" w:eastAsia="SimSun" w:hAnsi="Times New Roman" w:cs="Times New Roman"/>
      <w:sz w:val="20"/>
      <w:szCs w:val="20"/>
    </w:rPr>
  </w:style>
  <w:style w:type="paragraph" w:styleId="Footer">
    <w:name w:val="footer"/>
    <w:basedOn w:val="Normal"/>
    <w:link w:val="FooterChar"/>
    <w:uiPriority w:val="99"/>
    <w:unhideWhenUsed/>
    <w:rsid w:val="00C410C6"/>
    <w:pPr>
      <w:tabs>
        <w:tab w:val="center" w:pos="4680"/>
        <w:tab w:val="right" w:pos="9360"/>
      </w:tabs>
    </w:pPr>
  </w:style>
  <w:style w:type="character" w:customStyle="1" w:styleId="FooterChar">
    <w:name w:val="Footer Char"/>
    <w:basedOn w:val="DefaultParagraphFont"/>
    <w:link w:val="Footer"/>
    <w:uiPriority w:val="99"/>
    <w:rsid w:val="00C410C6"/>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C410C6"/>
    <w:rPr>
      <w:rFonts w:ascii="Tahoma" w:hAnsi="Tahoma" w:cs="Tahoma"/>
      <w:sz w:val="16"/>
      <w:szCs w:val="16"/>
    </w:rPr>
  </w:style>
  <w:style w:type="character" w:customStyle="1" w:styleId="BalloonTextChar">
    <w:name w:val="Balloon Text Char"/>
    <w:basedOn w:val="DefaultParagraphFont"/>
    <w:link w:val="BalloonText"/>
    <w:uiPriority w:val="99"/>
    <w:semiHidden/>
    <w:rsid w:val="00C410C6"/>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1F4"/>
    <w:pPr>
      <w:autoSpaceDE w:val="0"/>
      <w:autoSpaceDN w:val="0"/>
      <w:spacing w:after="0" w:line="240" w:lineRule="auto"/>
    </w:pPr>
    <w:rPr>
      <w:rFonts w:ascii="Times New Roman" w:eastAsia="SimSu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E271F4"/>
    <w:pPr>
      <w:widowControl w:val="0"/>
      <w:jc w:val="center"/>
    </w:pPr>
    <w:rPr>
      <w:rFonts w:ascii="Arial" w:hAnsi="Arial" w:cs="Arial"/>
      <w:b/>
      <w:bCs/>
      <w:sz w:val="30"/>
      <w:szCs w:val="30"/>
    </w:rPr>
  </w:style>
  <w:style w:type="character" w:customStyle="1" w:styleId="TitleChar">
    <w:name w:val="Title Char"/>
    <w:basedOn w:val="DefaultParagraphFont"/>
    <w:link w:val="Title"/>
    <w:uiPriority w:val="99"/>
    <w:rsid w:val="00E271F4"/>
    <w:rPr>
      <w:rFonts w:ascii="Arial" w:eastAsia="SimSun" w:hAnsi="Arial" w:cs="Arial"/>
      <w:b/>
      <w:bCs/>
      <w:sz w:val="30"/>
      <w:szCs w:val="30"/>
    </w:rPr>
  </w:style>
  <w:style w:type="character" w:styleId="Hyperlink">
    <w:name w:val="Hyperlink"/>
    <w:uiPriority w:val="99"/>
    <w:rsid w:val="00823F43"/>
    <w:rPr>
      <w:rFonts w:ascii="Times New Roman" w:hAnsi="Times New Roman" w:cs="Times New Roman"/>
      <w:color w:val="0000FF"/>
      <w:u w:val="none"/>
    </w:rPr>
  </w:style>
  <w:style w:type="paragraph" w:styleId="Header">
    <w:name w:val="header"/>
    <w:basedOn w:val="Normal"/>
    <w:link w:val="HeaderChar"/>
    <w:uiPriority w:val="99"/>
    <w:unhideWhenUsed/>
    <w:rsid w:val="00C410C6"/>
    <w:pPr>
      <w:tabs>
        <w:tab w:val="center" w:pos="4680"/>
        <w:tab w:val="right" w:pos="9360"/>
      </w:tabs>
    </w:pPr>
  </w:style>
  <w:style w:type="character" w:customStyle="1" w:styleId="HeaderChar">
    <w:name w:val="Header Char"/>
    <w:basedOn w:val="DefaultParagraphFont"/>
    <w:link w:val="Header"/>
    <w:uiPriority w:val="99"/>
    <w:rsid w:val="00C410C6"/>
    <w:rPr>
      <w:rFonts w:ascii="Times New Roman" w:eastAsia="SimSun" w:hAnsi="Times New Roman" w:cs="Times New Roman"/>
      <w:sz w:val="20"/>
      <w:szCs w:val="20"/>
    </w:rPr>
  </w:style>
  <w:style w:type="paragraph" w:styleId="Footer">
    <w:name w:val="footer"/>
    <w:basedOn w:val="Normal"/>
    <w:link w:val="FooterChar"/>
    <w:uiPriority w:val="99"/>
    <w:unhideWhenUsed/>
    <w:rsid w:val="00C410C6"/>
    <w:pPr>
      <w:tabs>
        <w:tab w:val="center" w:pos="4680"/>
        <w:tab w:val="right" w:pos="9360"/>
      </w:tabs>
    </w:pPr>
  </w:style>
  <w:style w:type="character" w:customStyle="1" w:styleId="FooterChar">
    <w:name w:val="Footer Char"/>
    <w:basedOn w:val="DefaultParagraphFont"/>
    <w:link w:val="Footer"/>
    <w:uiPriority w:val="99"/>
    <w:rsid w:val="00C410C6"/>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C410C6"/>
    <w:rPr>
      <w:rFonts w:ascii="Tahoma" w:hAnsi="Tahoma" w:cs="Tahoma"/>
      <w:sz w:val="16"/>
      <w:szCs w:val="16"/>
    </w:rPr>
  </w:style>
  <w:style w:type="character" w:customStyle="1" w:styleId="BalloonTextChar">
    <w:name w:val="Balloon Text Char"/>
    <w:basedOn w:val="DefaultParagraphFont"/>
    <w:link w:val="BalloonText"/>
    <w:uiPriority w:val="99"/>
    <w:semiHidden/>
    <w:rsid w:val="00C410C6"/>
    <w:rPr>
      <w:rFonts w:ascii="Tahoma" w:eastAsia="SimSu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search.va.gov/programs/animal_re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Completion of theACORP Appendix 8 -- Use of Explosive Agent(s)within the VMU or in Animals                                (ACORP App. 8 Instructions)       Version 4 Instructions for Completion of theACORP Appendix 8 -- Use of Explosive Agent(s)within the VMU or in Animals                                (ACORP App. 8 Instructions)       Version 4 </dc:title>
  <dc:subject>Instructions for Completion of theACORP Appendix 8 -- Use of Explosive Agent(s)within the VMU or in Animals                                (ACORP App. 8 Instructions)       Version 4 </dc:subject>
  <dc:creator>Huang, Alice</dc:creator>
  <cp:keywords>Instructions for Completion of theACORP Appendix 8 -- Use of Explosive Agent(s)within the VMU or in Animals                                (ACORP App. 8 Instructions)       Version 4 </cp:keywords>
  <cp:lastModifiedBy>vhabhsriverp</cp:lastModifiedBy>
  <cp:revision>5</cp:revision>
  <dcterms:created xsi:type="dcterms:W3CDTF">2013-01-04T13:55:00Z</dcterms:created>
  <dcterms:modified xsi:type="dcterms:W3CDTF">2013-01-29T16:29:00Z</dcterms:modified>
</cp:coreProperties>
</file>