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6F" w:rsidRPr="00E73408" w:rsidRDefault="00A0106F" w:rsidP="00A0106F">
      <w:pPr>
        <w:pStyle w:val="Title"/>
        <w:rPr>
          <w:b w:val="0"/>
          <w:smallCaps/>
        </w:rPr>
      </w:pPr>
      <w:bookmarkStart w:id="0" w:name="OLE_LINK1"/>
      <w:bookmarkStart w:id="1" w:name="OLE_LINK2"/>
      <w:r>
        <w:rPr>
          <w:b w:val="0"/>
          <w:smallCaps/>
        </w:rPr>
        <w:t>Instructions for Completion of the</w:t>
      </w:r>
    </w:p>
    <w:p w:rsidR="00A0106F" w:rsidRPr="00315B95" w:rsidRDefault="00A0106F" w:rsidP="00A0106F">
      <w:pPr>
        <w:pStyle w:val="Title"/>
        <w:rPr>
          <w:bCs w:val="0"/>
          <w:smallCaps/>
        </w:rPr>
      </w:pPr>
      <w:r w:rsidRPr="00315B95">
        <w:rPr>
          <w:smallCaps/>
        </w:rPr>
        <w:t xml:space="preserve">ACORP Appendix </w:t>
      </w:r>
      <w:r w:rsidRPr="00315B95">
        <w:rPr>
          <w:bCs w:val="0"/>
          <w:smallCaps/>
        </w:rPr>
        <w:t xml:space="preserve">9 -- Departures from “Must” and “Should” Standards in the </w:t>
      </w:r>
      <w:r w:rsidRPr="00315B95">
        <w:rPr>
          <w:bCs w:val="0"/>
          <w:i/>
          <w:smallCaps/>
        </w:rPr>
        <w:t>Guide</w:t>
      </w:r>
    </w:p>
    <w:p w:rsidR="00A0106F" w:rsidRPr="00315B95" w:rsidRDefault="00A0106F" w:rsidP="00A0106F">
      <w:pPr>
        <w:pStyle w:val="Title"/>
        <w:rPr>
          <w:smallCaps/>
        </w:rPr>
      </w:pPr>
      <w:r>
        <w:rPr>
          <w:smallCaps/>
        </w:rPr>
        <w:t>(ACORP App. 9</w:t>
      </w:r>
      <w:r w:rsidRPr="00315B95">
        <w:rPr>
          <w:smallCaps/>
        </w:rPr>
        <w:t xml:space="preserve"> Instructions)</w:t>
      </w:r>
    </w:p>
    <w:p w:rsidR="00A0106F" w:rsidRDefault="00A0106F" w:rsidP="00A0106F">
      <w:pPr>
        <w:jc w:val="center"/>
        <w:rPr>
          <w:rFonts w:ascii="Arial" w:hAnsi="Arial" w:cs="Arial"/>
          <w:b/>
          <w:bCs/>
          <w:smallCaps/>
          <w:sz w:val="24"/>
          <w:szCs w:val="24"/>
        </w:rPr>
      </w:pPr>
      <w:r w:rsidRPr="00BB32EF">
        <w:rPr>
          <w:rFonts w:ascii="Arial" w:hAnsi="Arial" w:cs="Arial"/>
          <w:b/>
          <w:bCs/>
          <w:smallCaps/>
        </w:rPr>
        <w:t xml:space="preserve">Version </w:t>
      </w:r>
      <w:r w:rsidR="00F4764E">
        <w:rPr>
          <w:rFonts w:ascii="Arial" w:hAnsi="Arial" w:cs="Arial"/>
          <w:b/>
          <w:bCs/>
          <w:smallCaps/>
        </w:rPr>
        <w:t>4</w:t>
      </w:r>
    </w:p>
    <w:bookmarkEnd w:id="0"/>
    <w:bookmarkEnd w:id="1"/>
    <w:p w:rsidR="00A0106F" w:rsidRDefault="00A0106F" w:rsidP="00A0106F"/>
    <w:p w:rsidR="00F4764E" w:rsidRDefault="00F4764E" w:rsidP="00F4764E">
      <w:pPr>
        <w:rPr>
          <w:rFonts w:ascii="Arial" w:hAnsi="Arial" w:cs="Arial"/>
          <w:iCs/>
          <w:sz w:val="22"/>
          <w:szCs w:val="22"/>
        </w:rPr>
      </w:pPr>
      <w:r>
        <w:rPr>
          <w:rFonts w:ascii="Arial" w:hAnsi="Arial" w:cs="Arial"/>
          <w:iCs/>
          <w:sz w:val="22"/>
          <w:szCs w:val="22"/>
        </w:rPr>
        <w:t>These instructions provide detailed guidance on completing Appendix 9 of the ACORP, and are referenced to the numbers of the items in Appendix 9.</w:t>
      </w:r>
      <w:r w:rsidRPr="005222CF">
        <w:t xml:space="preserve"> </w:t>
      </w:r>
      <w:r>
        <w:rPr>
          <w:rFonts w:ascii="Arial" w:hAnsi="Arial" w:cs="Arial"/>
          <w:iCs/>
          <w:sz w:val="22"/>
          <w:szCs w:val="22"/>
        </w:rPr>
        <w:t>ONLY complete this</w:t>
      </w:r>
      <w:r w:rsidRPr="005222CF">
        <w:rPr>
          <w:rFonts w:ascii="Arial" w:hAnsi="Arial" w:cs="Arial"/>
          <w:iCs/>
          <w:sz w:val="22"/>
          <w:szCs w:val="22"/>
        </w:rPr>
        <w:t xml:space="preserve"> appendi</w:t>
      </w:r>
      <w:r>
        <w:rPr>
          <w:rFonts w:ascii="Arial" w:hAnsi="Arial" w:cs="Arial"/>
          <w:iCs/>
          <w:sz w:val="22"/>
          <w:szCs w:val="22"/>
        </w:rPr>
        <w:t>x</w:t>
      </w:r>
      <w:r w:rsidRPr="005222CF">
        <w:rPr>
          <w:rFonts w:ascii="Arial" w:hAnsi="Arial" w:cs="Arial"/>
          <w:iCs/>
          <w:sz w:val="22"/>
          <w:szCs w:val="22"/>
        </w:rPr>
        <w:t xml:space="preserve"> </w:t>
      </w:r>
      <w:r>
        <w:rPr>
          <w:rFonts w:ascii="Arial" w:hAnsi="Arial" w:cs="Arial"/>
          <w:iCs/>
          <w:sz w:val="22"/>
          <w:szCs w:val="22"/>
        </w:rPr>
        <w:t xml:space="preserve">if it is </w:t>
      </w:r>
      <w:r w:rsidRPr="005222CF">
        <w:rPr>
          <w:rFonts w:ascii="Arial" w:hAnsi="Arial" w:cs="Arial"/>
          <w:iCs/>
          <w:sz w:val="22"/>
          <w:szCs w:val="22"/>
        </w:rPr>
        <w:t xml:space="preserve">relevant to the protocol being </w:t>
      </w:r>
      <w:r>
        <w:rPr>
          <w:rFonts w:ascii="Arial" w:hAnsi="Arial" w:cs="Arial"/>
          <w:iCs/>
          <w:sz w:val="22"/>
          <w:szCs w:val="22"/>
        </w:rPr>
        <w:t>submitted for review</w:t>
      </w:r>
      <w:r w:rsidRPr="005222CF">
        <w:rPr>
          <w:rFonts w:ascii="Arial" w:hAnsi="Arial" w:cs="Arial"/>
          <w:iCs/>
          <w:sz w:val="22"/>
          <w:szCs w:val="22"/>
        </w:rPr>
        <w:t>.</w:t>
      </w:r>
    </w:p>
    <w:p w:rsidR="00F4764E" w:rsidRDefault="00F4764E" w:rsidP="00F4764E">
      <w:pPr>
        <w:rPr>
          <w:rFonts w:ascii="Arial" w:hAnsi="Arial" w:cs="Arial"/>
          <w:bCs/>
          <w:sz w:val="22"/>
          <w:szCs w:val="22"/>
        </w:rPr>
      </w:pPr>
    </w:p>
    <w:p w:rsidR="00F4764E" w:rsidRDefault="00F4764E" w:rsidP="00F4764E">
      <w:pPr>
        <w:ind w:left="360" w:right="576" w:hanging="360"/>
        <w:rPr>
          <w:rFonts w:ascii="Arial" w:hAnsi="Arial" w:cs="Arial"/>
          <w:bCs/>
          <w:sz w:val="22"/>
          <w:szCs w:val="22"/>
        </w:rPr>
      </w:pPr>
      <w:r>
        <w:rPr>
          <w:rFonts w:ascii="Arial" w:hAnsi="Arial" w:cs="Arial"/>
          <w:bCs/>
          <w:sz w:val="22"/>
          <w:szCs w:val="22"/>
        </w:rPr>
        <w:t xml:space="preserve">Always use the most recent version of Appendix 9 of the ACORP, available at </w:t>
      </w:r>
      <w:hyperlink r:id="rId7" w:history="1">
        <w:r w:rsidRPr="004346B5">
          <w:rPr>
            <w:rStyle w:val="Hyperlink"/>
            <w:rFonts w:ascii="Arial" w:hAnsi="Arial" w:cs="Arial"/>
            <w:bCs/>
            <w:sz w:val="22"/>
            <w:szCs w:val="22"/>
          </w:rPr>
          <w:t>http://www.research.va.gov/programs/animal_research/</w:t>
        </w:r>
      </w:hyperlink>
      <w:r>
        <w:rPr>
          <w:rStyle w:val="Hyperlink"/>
          <w:rFonts w:ascii="Arial" w:hAnsi="Arial" w:cs="Arial"/>
          <w:bCs/>
          <w:sz w:val="22"/>
          <w:szCs w:val="22"/>
        </w:rPr>
        <w:t>,</w:t>
      </w:r>
      <w:r>
        <w:rPr>
          <w:rFonts w:ascii="Arial" w:hAnsi="Arial" w:cs="Arial"/>
          <w:bCs/>
          <w:sz w:val="22"/>
          <w:szCs w:val="22"/>
        </w:rPr>
        <w:t xml:space="preserve"> when preparing a protocol for IACUC review.  In general, no protocol should be submitted to the IACUC on an older version of the ACORP forms more than 1 year after a newer one becomes available, although protocols already approved by the IACUC less than 1 year after release of a newer version will be accepted for Just-In-Time review for three years after approval by the IACUC.</w:t>
      </w:r>
    </w:p>
    <w:p w:rsidR="00F4764E" w:rsidRDefault="00F4764E" w:rsidP="00F4764E">
      <w:pPr>
        <w:ind w:right="576"/>
        <w:rPr>
          <w:rFonts w:ascii="Arial" w:hAnsi="Arial" w:cs="Arial"/>
          <w:bCs/>
          <w:sz w:val="22"/>
          <w:szCs w:val="22"/>
        </w:rPr>
      </w:pPr>
    </w:p>
    <w:p w:rsidR="00F4764E" w:rsidRDefault="00F4764E" w:rsidP="00F4764E">
      <w:pPr>
        <w:ind w:left="360" w:right="576" w:hanging="360"/>
        <w:rPr>
          <w:rFonts w:ascii="Arial" w:hAnsi="Arial" w:cs="Arial"/>
          <w:bCs/>
          <w:sz w:val="22"/>
          <w:szCs w:val="22"/>
        </w:rPr>
      </w:pPr>
      <w:r>
        <w:rPr>
          <w:rFonts w:ascii="Arial" w:hAnsi="Arial" w:cs="Arial"/>
          <w:bCs/>
          <w:sz w:val="22"/>
          <w:szCs w:val="22"/>
        </w:rPr>
        <w:t>Regulatory documents mentioned in the instructions are abbreviated as follows:</w:t>
      </w:r>
    </w:p>
    <w:p w:rsidR="00F4764E" w:rsidRDefault="00F4764E" w:rsidP="00F4764E">
      <w:pPr>
        <w:ind w:left="720" w:right="576" w:hanging="360"/>
        <w:rPr>
          <w:rFonts w:ascii="Arial" w:hAnsi="Arial" w:cs="Arial"/>
          <w:bCs/>
          <w:sz w:val="22"/>
          <w:szCs w:val="22"/>
        </w:rPr>
      </w:pPr>
      <w:r>
        <w:rPr>
          <w:rFonts w:ascii="Arial" w:hAnsi="Arial" w:cs="Arial"/>
          <w:bCs/>
          <w:i/>
          <w:sz w:val="22"/>
          <w:szCs w:val="22"/>
        </w:rPr>
        <w:t xml:space="preserve">Guide </w:t>
      </w:r>
      <w:r>
        <w:rPr>
          <w:rFonts w:ascii="Arial" w:hAnsi="Arial" w:cs="Arial"/>
          <w:bCs/>
          <w:sz w:val="22"/>
          <w:szCs w:val="22"/>
        </w:rPr>
        <w:t>– Guide for the Care and Use of Laboratory Animals, 8</w:t>
      </w:r>
      <w:r w:rsidRPr="00101B62">
        <w:rPr>
          <w:rFonts w:ascii="Arial" w:hAnsi="Arial" w:cs="Arial"/>
          <w:bCs/>
          <w:sz w:val="22"/>
          <w:szCs w:val="22"/>
          <w:vertAlign w:val="superscript"/>
        </w:rPr>
        <w:t>th</w:t>
      </w:r>
      <w:r>
        <w:rPr>
          <w:rFonts w:ascii="Arial" w:hAnsi="Arial" w:cs="Arial"/>
          <w:bCs/>
          <w:sz w:val="22"/>
          <w:szCs w:val="22"/>
        </w:rPr>
        <w:t xml:space="preserve"> ed., 2011</w:t>
      </w:r>
    </w:p>
    <w:p w:rsidR="00F4764E" w:rsidRPr="006A5B95" w:rsidRDefault="00F4764E" w:rsidP="00F4764E">
      <w:pPr>
        <w:ind w:left="720" w:right="576" w:hanging="360"/>
        <w:rPr>
          <w:rFonts w:ascii="Arial" w:hAnsi="Arial" w:cs="Arial"/>
          <w:bCs/>
          <w:sz w:val="22"/>
          <w:szCs w:val="22"/>
        </w:rPr>
      </w:pPr>
      <w:r>
        <w:rPr>
          <w:rFonts w:ascii="Arial" w:hAnsi="Arial" w:cs="Arial"/>
          <w:bCs/>
          <w:i/>
          <w:sz w:val="22"/>
          <w:szCs w:val="22"/>
        </w:rPr>
        <w:t xml:space="preserve">OLAW FAQs </w:t>
      </w:r>
      <w:r>
        <w:rPr>
          <w:rFonts w:ascii="Arial" w:hAnsi="Arial" w:cs="Arial"/>
          <w:bCs/>
          <w:sz w:val="22"/>
          <w:szCs w:val="22"/>
        </w:rPr>
        <w:t>– Frequently Asked Questions – PHS Policy on Humane Care and Use of Laboratory Animals (http://grants.nih.gov/grants/olaw/faqs.htm)</w:t>
      </w:r>
    </w:p>
    <w:p w:rsidR="00F4764E" w:rsidRDefault="00F4764E" w:rsidP="00F4764E">
      <w:pPr>
        <w:ind w:left="720" w:right="576" w:hanging="360"/>
        <w:rPr>
          <w:rFonts w:ascii="Arial" w:hAnsi="Arial" w:cs="Arial"/>
          <w:bCs/>
          <w:sz w:val="22"/>
          <w:szCs w:val="22"/>
        </w:rPr>
      </w:pPr>
      <w:r w:rsidRPr="00101B62">
        <w:rPr>
          <w:rFonts w:ascii="Arial" w:hAnsi="Arial" w:cs="Arial"/>
          <w:bCs/>
          <w:i/>
          <w:sz w:val="22"/>
          <w:szCs w:val="22"/>
        </w:rPr>
        <w:t>PHS Policy</w:t>
      </w:r>
      <w:r>
        <w:rPr>
          <w:rFonts w:ascii="Arial" w:hAnsi="Arial" w:cs="Arial"/>
          <w:bCs/>
          <w:sz w:val="22"/>
          <w:szCs w:val="22"/>
        </w:rPr>
        <w:t xml:space="preserve"> – Public Health Service Policy on Humane Care and Use of Laboratory Animals</w:t>
      </w:r>
    </w:p>
    <w:p w:rsidR="00F4764E" w:rsidRDefault="00F4764E" w:rsidP="00F4764E">
      <w:pPr>
        <w:ind w:right="576"/>
        <w:rPr>
          <w:rFonts w:ascii="Arial" w:hAnsi="Arial" w:cs="Arial"/>
          <w:bCs/>
          <w:sz w:val="22"/>
          <w:szCs w:val="22"/>
        </w:rPr>
      </w:pPr>
    </w:p>
    <w:p w:rsidR="00F4764E" w:rsidRDefault="00F4764E" w:rsidP="00F4764E">
      <w:pPr>
        <w:ind w:right="576"/>
        <w:rPr>
          <w:rFonts w:ascii="Arial" w:hAnsi="Arial" w:cs="Arial"/>
          <w:bCs/>
          <w:sz w:val="22"/>
          <w:szCs w:val="22"/>
        </w:rPr>
      </w:pPr>
      <w:r>
        <w:rPr>
          <w:rFonts w:ascii="Arial" w:hAnsi="Arial" w:cs="Arial"/>
          <w:bCs/>
          <w:sz w:val="22"/>
          <w:szCs w:val="22"/>
        </w:rPr>
        <w:t xml:space="preserve">General Instructions:  </w:t>
      </w:r>
    </w:p>
    <w:p w:rsidR="00F4764E" w:rsidRDefault="00F4764E" w:rsidP="00F4764E">
      <w:pPr>
        <w:ind w:left="720" w:right="576" w:hanging="360"/>
        <w:rPr>
          <w:rFonts w:ascii="Arial" w:hAnsi="Arial" w:cs="Arial"/>
          <w:sz w:val="22"/>
          <w:szCs w:val="22"/>
        </w:rPr>
      </w:pPr>
      <w:r>
        <w:rPr>
          <w:rFonts w:ascii="Arial" w:hAnsi="Arial" w:cs="Arial"/>
          <w:bCs/>
          <w:sz w:val="22"/>
          <w:szCs w:val="22"/>
        </w:rPr>
        <w:t>Answer each question by completing the table provided or entering the requested information at the ►</w:t>
      </w:r>
      <w:r>
        <w:rPr>
          <w:rFonts w:ascii="Arial" w:hAnsi="Arial" w:cs="Arial"/>
          <w:sz w:val="22"/>
          <w:szCs w:val="22"/>
        </w:rPr>
        <w:t xml:space="preserve">. Enter “N/A” for any item that does not apply to this protocol.  The sections of the form will expand as needed. </w:t>
      </w:r>
    </w:p>
    <w:p w:rsidR="00F4764E" w:rsidRDefault="00F4764E" w:rsidP="00F4764E">
      <w:pPr>
        <w:ind w:left="720" w:right="576" w:hanging="360"/>
        <w:rPr>
          <w:rFonts w:ascii="Arial" w:hAnsi="Arial" w:cs="Arial"/>
          <w:sz w:val="22"/>
          <w:szCs w:val="22"/>
        </w:rPr>
      </w:pPr>
      <w:r>
        <w:rPr>
          <w:rFonts w:ascii="Arial" w:hAnsi="Arial" w:cs="Arial"/>
          <w:sz w:val="22"/>
          <w:szCs w:val="22"/>
        </w:rPr>
        <w:t xml:space="preserve">To check an item, type “X” inside the (   ) provided.  </w:t>
      </w:r>
    </w:p>
    <w:p w:rsidR="00F4764E" w:rsidRDefault="00F4764E" w:rsidP="00F4764E">
      <w:pPr>
        <w:ind w:left="720" w:right="576" w:hanging="360"/>
        <w:rPr>
          <w:rFonts w:ascii="Arial" w:hAnsi="Arial" w:cs="Arial"/>
          <w:sz w:val="22"/>
          <w:szCs w:val="22"/>
        </w:rPr>
      </w:pPr>
      <w:r w:rsidRPr="00542A2B">
        <w:rPr>
          <w:rFonts w:ascii="Arial" w:hAnsi="Arial" w:cs="Arial"/>
          <w:sz w:val="22"/>
          <w:szCs w:val="22"/>
        </w:rPr>
        <w:t>Define each abbreviation the first time it is used.</w:t>
      </w:r>
    </w:p>
    <w:p w:rsidR="00F4764E" w:rsidRDefault="00F4764E" w:rsidP="00F4764E">
      <w:pPr>
        <w:ind w:left="720" w:right="576" w:hanging="360"/>
        <w:rPr>
          <w:rFonts w:ascii="Arial" w:hAnsi="Arial" w:cs="Arial"/>
          <w:sz w:val="22"/>
          <w:szCs w:val="22"/>
        </w:rPr>
      </w:pPr>
      <w:r>
        <w:rPr>
          <w:rFonts w:ascii="Arial" w:hAnsi="Arial" w:cs="Arial"/>
          <w:sz w:val="22"/>
          <w:szCs w:val="22"/>
        </w:rPr>
        <w:t>Rows may be added to any of the tables in the form – to add a row to the bottom of a table</w:t>
      </w:r>
      <w:r w:rsidRPr="00FC47F3">
        <w:rPr>
          <w:rFonts w:ascii="Arial" w:hAnsi="Arial" w:cs="Arial"/>
          <w:sz w:val="22"/>
          <w:szCs w:val="22"/>
        </w:rPr>
        <w:t xml:space="preserve">, position the cursor in the far right cell of the bottom row, and press &lt;Tab&gt;.  </w:t>
      </w:r>
      <w:r>
        <w:rPr>
          <w:rFonts w:ascii="Arial" w:hAnsi="Arial" w:cs="Arial"/>
          <w:sz w:val="22"/>
          <w:szCs w:val="22"/>
        </w:rPr>
        <w:t xml:space="preserve"> All Table Tools available when the cursor is placed in the table are also active.</w:t>
      </w:r>
    </w:p>
    <w:p w:rsidR="00F4764E" w:rsidRDefault="00F4764E" w:rsidP="00F4764E">
      <w:pPr>
        <w:rPr>
          <w:rFonts w:ascii="Arial" w:hAnsi="Arial" w:cs="Arial"/>
          <w:b/>
          <w:iCs/>
          <w:sz w:val="22"/>
          <w:szCs w:val="22"/>
        </w:rPr>
      </w:pPr>
    </w:p>
    <w:p w:rsidR="00F4764E" w:rsidRDefault="00F4764E" w:rsidP="00F4764E">
      <w:pPr>
        <w:rPr>
          <w:rFonts w:ascii="Arial" w:hAnsi="Arial" w:cs="Arial"/>
          <w:iCs/>
          <w:sz w:val="22"/>
          <w:szCs w:val="22"/>
        </w:rPr>
      </w:pPr>
      <w:r>
        <w:rPr>
          <w:rFonts w:ascii="Arial" w:hAnsi="Arial" w:cs="Arial"/>
          <w:b/>
          <w:iCs/>
          <w:sz w:val="22"/>
          <w:szCs w:val="22"/>
        </w:rPr>
        <w:t xml:space="preserve">Header for Every Page.  </w:t>
      </w:r>
      <w:r>
        <w:rPr>
          <w:rFonts w:ascii="Arial" w:hAnsi="Arial" w:cs="Arial"/>
          <w:iCs/>
          <w:sz w:val="22"/>
          <w:szCs w:val="22"/>
        </w:rPr>
        <w:t>Enter the same information in the header for this appendix as is entered in the header for the Main Body of the ACORP to which it applies, to identify each page of this Appendix with that ACORP:</w:t>
      </w:r>
    </w:p>
    <w:p w:rsidR="00F4764E" w:rsidRDefault="00F4764E" w:rsidP="00F4764E">
      <w:pPr>
        <w:ind w:left="720" w:hanging="360"/>
        <w:rPr>
          <w:rFonts w:ascii="Arial" w:hAnsi="Arial" w:cs="Arial"/>
          <w:iCs/>
          <w:sz w:val="22"/>
          <w:szCs w:val="22"/>
        </w:rPr>
      </w:pPr>
      <w:r w:rsidRPr="00DA1527">
        <w:rPr>
          <w:rFonts w:ascii="Arial" w:hAnsi="Arial" w:cs="Arial"/>
          <w:iCs/>
          <w:sz w:val="22"/>
          <w:szCs w:val="22"/>
        </w:rPr>
        <w:t>P</w:t>
      </w:r>
      <w:r>
        <w:rPr>
          <w:rFonts w:ascii="Arial" w:hAnsi="Arial" w:cs="Arial"/>
          <w:iCs/>
          <w:sz w:val="22"/>
          <w:szCs w:val="22"/>
        </w:rPr>
        <w:t>I’s last name</w:t>
      </w:r>
    </w:p>
    <w:p w:rsidR="00F4764E" w:rsidRDefault="00F4764E" w:rsidP="00F4764E">
      <w:pPr>
        <w:ind w:left="720" w:hanging="360"/>
        <w:rPr>
          <w:rFonts w:ascii="Arial" w:hAnsi="Arial" w:cs="Arial"/>
          <w:iCs/>
          <w:sz w:val="22"/>
          <w:szCs w:val="22"/>
        </w:rPr>
      </w:pPr>
      <w:r>
        <w:rPr>
          <w:rFonts w:ascii="Arial" w:hAnsi="Arial" w:cs="Arial"/>
          <w:iCs/>
          <w:sz w:val="22"/>
          <w:szCs w:val="22"/>
        </w:rPr>
        <w:t>P</w:t>
      </w:r>
      <w:r w:rsidRPr="00DA1527">
        <w:rPr>
          <w:rFonts w:ascii="Arial" w:hAnsi="Arial" w:cs="Arial"/>
          <w:iCs/>
          <w:sz w:val="22"/>
          <w:szCs w:val="22"/>
        </w:rPr>
        <w:t>rotocol No.</w:t>
      </w:r>
      <w:r>
        <w:rPr>
          <w:rFonts w:ascii="Arial" w:hAnsi="Arial" w:cs="Arial"/>
          <w:iCs/>
          <w:sz w:val="22"/>
          <w:szCs w:val="22"/>
        </w:rPr>
        <w:t xml:space="preserve"> Assigned by the IACUC – a unique identifier for each protocol, to be assigned locally by the IACUC of Record to the protocol as a whole</w:t>
      </w:r>
    </w:p>
    <w:p w:rsidR="00F4764E" w:rsidRDefault="00F4764E" w:rsidP="00F4764E">
      <w:pPr>
        <w:ind w:left="720" w:hanging="360"/>
        <w:rPr>
          <w:rFonts w:ascii="Arial" w:hAnsi="Arial" w:cs="Arial"/>
          <w:iCs/>
          <w:sz w:val="22"/>
          <w:szCs w:val="22"/>
        </w:rPr>
      </w:pPr>
      <w:r>
        <w:rPr>
          <w:rFonts w:ascii="Arial" w:hAnsi="Arial" w:cs="Arial"/>
          <w:iCs/>
          <w:sz w:val="22"/>
          <w:szCs w:val="22"/>
        </w:rPr>
        <w:t xml:space="preserve">Official Date of Approval – the date of final and unequivocal approval by the IACUC, as defined in the PHS Assurance, which determines the due dates of the first annual continuing review and the triennial </w:t>
      </w:r>
      <w:r w:rsidRPr="00DA1527">
        <w:rPr>
          <w:rFonts w:ascii="Arial" w:hAnsi="Arial" w:cs="Arial"/>
          <w:i/>
          <w:iCs/>
          <w:sz w:val="22"/>
          <w:szCs w:val="22"/>
        </w:rPr>
        <w:t>de novo</w:t>
      </w:r>
      <w:r>
        <w:rPr>
          <w:rFonts w:ascii="Arial" w:hAnsi="Arial" w:cs="Arial"/>
          <w:iCs/>
          <w:sz w:val="22"/>
          <w:szCs w:val="22"/>
        </w:rPr>
        <w:t xml:space="preserve"> review, as applicable</w:t>
      </w:r>
    </w:p>
    <w:p w:rsidR="00A0106F" w:rsidRDefault="00A0106F" w:rsidP="00A0106F"/>
    <w:p w:rsidR="00A0106F" w:rsidRDefault="00A0106F" w:rsidP="00A0106F">
      <w:pPr>
        <w:rPr>
          <w:rFonts w:ascii="Arial" w:hAnsi="Arial" w:cs="Arial"/>
          <w:sz w:val="22"/>
          <w:szCs w:val="22"/>
        </w:rPr>
      </w:pPr>
      <w:r w:rsidRPr="0021684B">
        <w:rPr>
          <w:rFonts w:ascii="Arial" w:hAnsi="Arial" w:cs="Arial"/>
          <w:i/>
          <w:sz w:val="22"/>
          <w:szCs w:val="22"/>
        </w:rPr>
        <w:t>PHS Policy</w:t>
      </w:r>
      <w:r>
        <w:rPr>
          <w:rFonts w:ascii="Arial" w:hAnsi="Arial" w:cs="Arial"/>
          <w:sz w:val="22"/>
          <w:szCs w:val="22"/>
        </w:rPr>
        <w:t xml:space="preserve"> (IV.B.3) requires that IACUC-approved departures from PHS Policy, including the provisions of the </w:t>
      </w:r>
      <w:r w:rsidRPr="009E56ED">
        <w:rPr>
          <w:rFonts w:ascii="Arial" w:hAnsi="Arial" w:cs="Arial"/>
          <w:i/>
          <w:sz w:val="22"/>
          <w:szCs w:val="22"/>
        </w:rPr>
        <w:t>Guide</w:t>
      </w:r>
      <w:r>
        <w:rPr>
          <w:rFonts w:ascii="Arial" w:hAnsi="Arial" w:cs="Arial"/>
          <w:sz w:val="22"/>
          <w:szCs w:val="22"/>
        </w:rPr>
        <w:t xml:space="preserve">, be reported to the Institutional Official in the report of each semiannual evaluation of the institutional animal care and use program.  This appendix is to document the departures that have been approved by the IACUC for this protocol.  The completed appendix may be copied for inclusion in semiannual reports.  </w:t>
      </w:r>
    </w:p>
    <w:p w:rsidR="00A0106F" w:rsidRDefault="00A0106F" w:rsidP="00A0106F">
      <w:pPr>
        <w:rPr>
          <w:rFonts w:ascii="Arial" w:hAnsi="Arial" w:cs="Arial"/>
          <w:sz w:val="22"/>
          <w:szCs w:val="22"/>
        </w:rPr>
      </w:pPr>
    </w:p>
    <w:p w:rsidR="00A0106F" w:rsidRDefault="00A0106F" w:rsidP="00A0106F">
      <w:pPr>
        <w:rPr>
          <w:rFonts w:ascii="Arial" w:hAnsi="Arial" w:cs="Arial"/>
          <w:sz w:val="22"/>
          <w:szCs w:val="22"/>
        </w:rPr>
      </w:pPr>
      <w:r>
        <w:rPr>
          <w:rFonts w:ascii="Arial" w:hAnsi="Arial" w:cs="Arial"/>
          <w:sz w:val="22"/>
          <w:szCs w:val="22"/>
        </w:rPr>
        <w:t xml:space="preserve">Consider each instance in this protocol that requires care or use of animals in a way that does not meet the general standards described in the </w:t>
      </w:r>
      <w:r w:rsidRPr="00646B28">
        <w:rPr>
          <w:rFonts w:ascii="Arial" w:hAnsi="Arial" w:cs="Arial"/>
          <w:i/>
          <w:sz w:val="22"/>
          <w:szCs w:val="22"/>
        </w:rPr>
        <w:t>Guide</w:t>
      </w:r>
      <w:r>
        <w:rPr>
          <w:rFonts w:ascii="Arial" w:hAnsi="Arial" w:cs="Arial"/>
          <w:sz w:val="22"/>
          <w:szCs w:val="22"/>
        </w:rPr>
        <w:t xml:space="preserve">.  These are all considered “deviations”, and most commonly appear in Items C.2.c, M, T, U, and V, and Appendices 2, 4, 5, 6, and 7 of the ACORP (procedures, husbandry, endpoint criteria, euthanasia, antibody production, antemortem specimen collection, surgery, transportation).  Apply the series of test questions below to determine whether any </w:t>
      </w:r>
      <w:r>
        <w:rPr>
          <w:rFonts w:ascii="Arial" w:hAnsi="Arial" w:cs="Arial"/>
          <w:sz w:val="22"/>
          <w:szCs w:val="22"/>
        </w:rPr>
        <w:lastRenderedPageBreak/>
        <w:t xml:space="preserve">of the “deviations” are considered “departures” and therefore must be documented in Appendix 9 (see also </w:t>
      </w:r>
      <w:r w:rsidRPr="00E95CD2">
        <w:rPr>
          <w:rFonts w:ascii="Arial" w:hAnsi="Arial" w:cs="Arial"/>
          <w:i/>
          <w:sz w:val="22"/>
          <w:szCs w:val="22"/>
        </w:rPr>
        <w:t>OLAW FAQs</w:t>
      </w:r>
      <w:r>
        <w:rPr>
          <w:rFonts w:ascii="Arial" w:hAnsi="Arial" w:cs="Arial"/>
          <w:sz w:val="22"/>
          <w:szCs w:val="22"/>
        </w:rPr>
        <w:t xml:space="preserve"> C.7):</w:t>
      </w:r>
    </w:p>
    <w:p w:rsidR="00A0106F" w:rsidRDefault="00A0106F" w:rsidP="00A0106F">
      <w:pPr>
        <w:rPr>
          <w:rFonts w:ascii="Arial" w:hAnsi="Arial" w:cs="Arial"/>
          <w:sz w:val="22"/>
          <w:szCs w:val="22"/>
        </w:rPr>
      </w:pPr>
    </w:p>
    <w:p w:rsidR="00A0106F" w:rsidRDefault="00A0106F" w:rsidP="00A0106F">
      <w:pPr>
        <w:ind w:left="720"/>
        <w:rPr>
          <w:rFonts w:ascii="Arial" w:hAnsi="Arial" w:cs="Arial"/>
          <w:sz w:val="22"/>
          <w:szCs w:val="22"/>
        </w:rPr>
      </w:pPr>
      <w:r w:rsidRPr="008512D6">
        <w:rPr>
          <w:rFonts w:ascii="Arial" w:hAnsi="Arial" w:cs="Arial"/>
          <w:sz w:val="22"/>
          <w:szCs w:val="22"/>
        </w:rPr>
        <w:t>1.</w:t>
      </w:r>
      <w:r>
        <w:rPr>
          <w:rFonts w:ascii="Arial" w:hAnsi="Arial" w:cs="Arial"/>
          <w:sz w:val="22"/>
          <w:szCs w:val="22"/>
        </w:rPr>
        <w:t xml:space="preserve"> Does the </w:t>
      </w:r>
      <w:r w:rsidRPr="00357BB9">
        <w:rPr>
          <w:rFonts w:ascii="Arial" w:hAnsi="Arial" w:cs="Arial"/>
          <w:i/>
          <w:sz w:val="22"/>
          <w:szCs w:val="22"/>
        </w:rPr>
        <w:t xml:space="preserve">Guide </w:t>
      </w:r>
      <w:r>
        <w:rPr>
          <w:rFonts w:ascii="Arial" w:hAnsi="Arial" w:cs="Arial"/>
          <w:sz w:val="22"/>
          <w:szCs w:val="22"/>
        </w:rPr>
        <w:t>describe the general standard as a “May” standard?  If so, this is NOT a “departure”, and need not be documented in Appendix 9.  Otherwise, for any “Should” or “Must” standard, proceed to the next question.</w:t>
      </w:r>
    </w:p>
    <w:p w:rsidR="00A0106F" w:rsidRDefault="00A0106F" w:rsidP="00A0106F">
      <w:pPr>
        <w:ind w:left="720"/>
        <w:rPr>
          <w:rFonts w:ascii="Arial" w:hAnsi="Arial" w:cs="Arial"/>
          <w:sz w:val="22"/>
          <w:szCs w:val="22"/>
        </w:rPr>
      </w:pPr>
    </w:p>
    <w:p w:rsidR="00A0106F" w:rsidRDefault="00A0106F" w:rsidP="00A0106F">
      <w:pPr>
        <w:ind w:left="720"/>
        <w:rPr>
          <w:rFonts w:ascii="Arial" w:hAnsi="Arial" w:cs="Arial"/>
          <w:sz w:val="22"/>
          <w:szCs w:val="22"/>
        </w:rPr>
      </w:pPr>
      <w:r w:rsidRPr="008512D6">
        <w:rPr>
          <w:rFonts w:ascii="Arial" w:hAnsi="Arial" w:cs="Arial"/>
          <w:sz w:val="22"/>
          <w:szCs w:val="22"/>
        </w:rPr>
        <w:t>2.</w:t>
      </w:r>
      <w:r>
        <w:rPr>
          <w:rFonts w:ascii="Arial" w:hAnsi="Arial" w:cs="Arial"/>
          <w:sz w:val="22"/>
          <w:szCs w:val="22"/>
        </w:rPr>
        <w:t xml:space="preserve"> Does the </w:t>
      </w:r>
      <w:r w:rsidRPr="00E95CD2">
        <w:rPr>
          <w:rFonts w:ascii="Arial" w:hAnsi="Arial" w:cs="Arial"/>
          <w:i/>
          <w:sz w:val="22"/>
          <w:szCs w:val="22"/>
        </w:rPr>
        <w:t>Guide</w:t>
      </w:r>
      <w:r>
        <w:rPr>
          <w:rFonts w:ascii="Arial" w:hAnsi="Arial" w:cs="Arial"/>
          <w:sz w:val="22"/>
          <w:szCs w:val="22"/>
        </w:rPr>
        <w:t xml:space="preserve"> include an explicitly stated exception that allows for the “deviation”?  If so, this is NOT a “departure”, and need not be documented in Appendix 9.  Otherwise, proceed to the next question.</w:t>
      </w:r>
    </w:p>
    <w:p w:rsidR="00A0106F" w:rsidRDefault="00A0106F" w:rsidP="00A0106F">
      <w:pPr>
        <w:ind w:left="720"/>
        <w:rPr>
          <w:rFonts w:ascii="Arial" w:hAnsi="Arial" w:cs="Arial"/>
          <w:sz w:val="22"/>
          <w:szCs w:val="22"/>
        </w:rPr>
      </w:pPr>
    </w:p>
    <w:p w:rsidR="00A0106F" w:rsidRDefault="00A0106F" w:rsidP="00A0106F">
      <w:pPr>
        <w:ind w:left="720"/>
        <w:rPr>
          <w:rFonts w:ascii="Arial" w:hAnsi="Arial" w:cs="Arial"/>
          <w:sz w:val="22"/>
          <w:szCs w:val="22"/>
        </w:rPr>
      </w:pPr>
      <w:r w:rsidRPr="008512D6">
        <w:rPr>
          <w:rFonts w:ascii="Arial" w:hAnsi="Arial" w:cs="Arial"/>
          <w:sz w:val="22"/>
          <w:szCs w:val="22"/>
        </w:rPr>
        <w:t>3.</w:t>
      </w:r>
      <w:r>
        <w:rPr>
          <w:rFonts w:ascii="Arial" w:hAnsi="Arial" w:cs="Arial"/>
          <w:sz w:val="22"/>
          <w:szCs w:val="22"/>
        </w:rPr>
        <w:t xml:space="preserve"> Does the “deviation” meet a well-established performance standard for a “Should” standard, according to locally-defined and continuously monitored performance measures?  If so, this is NOT a “departure”, and need not be documented in Appendix 9. Otherwise, this IS a “departure”, and may be approved by the IACUC only if justified on scientific, veterinary medical, or animal welfare grounds.</w:t>
      </w:r>
    </w:p>
    <w:p w:rsidR="00A0106F" w:rsidRDefault="00A0106F" w:rsidP="00A0106F">
      <w:pPr>
        <w:ind w:left="720"/>
        <w:rPr>
          <w:rFonts w:ascii="Arial" w:hAnsi="Arial" w:cs="Arial"/>
          <w:sz w:val="22"/>
          <w:szCs w:val="22"/>
        </w:rPr>
      </w:pPr>
    </w:p>
    <w:p w:rsidR="00A0106F" w:rsidRDefault="00A0106F" w:rsidP="00A0106F">
      <w:pPr>
        <w:rPr>
          <w:rFonts w:ascii="Arial" w:hAnsi="Arial" w:cs="Arial"/>
          <w:sz w:val="22"/>
          <w:szCs w:val="22"/>
        </w:rPr>
      </w:pPr>
      <w:r>
        <w:rPr>
          <w:rFonts w:ascii="Arial" w:hAnsi="Arial" w:cs="Arial"/>
          <w:sz w:val="22"/>
          <w:szCs w:val="22"/>
        </w:rPr>
        <w:t>The test questions above are summarized in the following flow chart:</w:t>
      </w:r>
      <w:r w:rsidR="00DA4B22" w:rsidRPr="00DA4B22">
        <w:rPr>
          <w:rFonts w:ascii="Arial" w:hAnsi="Arial" w:cs="Arial"/>
          <w:noProof/>
          <w:sz w:val="22"/>
          <w:szCs w:val="22"/>
        </w:rPr>
        <w:t xml:space="preserve"> </w:t>
      </w:r>
      <w:r w:rsidR="00DA4B22">
        <w:rPr>
          <w:rFonts w:ascii="Arial" w:hAnsi="Arial" w:cs="Arial"/>
          <w:noProof/>
          <w:sz w:val="22"/>
          <w:szCs w:val="22"/>
        </w:rPr>
        <w:drawing>
          <wp:inline distT="0" distB="0" distL="0" distR="0">
            <wp:extent cx="6305550" cy="422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ures Flow Char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09361" cy="4231656"/>
                    </a:xfrm>
                    <a:prstGeom prst="rect">
                      <a:avLst/>
                    </a:prstGeom>
                  </pic:spPr>
                </pic:pic>
              </a:graphicData>
            </a:graphic>
          </wp:inline>
        </w:drawing>
      </w:r>
    </w:p>
    <w:p w:rsidR="00E80EA2" w:rsidRDefault="00A0106F" w:rsidP="00E80EA2">
      <w:pPr>
        <w:rPr>
          <w:rFonts w:ascii="Arial" w:hAnsi="Arial" w:cs="Arial"/>
          <w:sz w:val="22"/>
          <w:szCs w:val="22"/>
        </w:rPr>
      </w:pPr>
      <w:r>
        <w:rPr>
          <w:rFonts w:ascii="Arial" w:hAnsi="Arial" w:cs="Arial"/>
          <w:sz w:val="22"/>
          <w:szCs w:val="22"/>
        </w:rPr>
        <w:t>For each IACUC-approved departure included in this protocol</w:t>
      </w:r>
      <w:r w:rsidR="00E80EA2">
        <w:rPr>
          <w:rFonts w:ascii="Arial" w:hAnsi="Arial" w:cs="Arial"/>
          <w:sz w:val="22"/>
          <w:szCs w:val="22"/>
        </w:rPr>
        <w:t>, provide the following information:</w:t>
      </w:r>
      <w:r>
        <w:rPr>
          <w:rFonts w:ascii="Arial" w:hAnsi="Arial" w:cs="Arial"/>
          <w:sz w:val="22"/>
          <w:szCs w:val="22"/>
        </w:rPr>
        <w:t xml:space="preserve"> </w:t>
      </w:r>
    </w:p>
    <w:p w:rsidR="00E80EA2" w:rsidRDefault="00E80EA2" w:rsidP="00E80EA2">
      <w:pPr>
        <w:rPr>
          <w:rFonts w:ascii="Arial" w:hAnsi="Arial" w:cs="Arial"/>
          <w:sz w:val="22"/>
          <w:szCs w:val="22"/>
        </w:rPr>
      </w:pPr>
    </w:p>
    <w:p w:rsidR="00E80EA2" w:rsidRDefault="00E80EA2" w:rsidP="00E80EA2">
      <w:pPr>
        <w:ind w:left="360"/>
        <w:rPr>
          <w:rFonts w:ascii="Arial" w:hAnsi="Arial" w:cs="Arial"/>
          <w:sz w:val="22"/>
          <w:szCs w:val="22"/>
        </w:rPr>
      </w:pPr>
      <w:r>
        <w:rPr>
          <w:rFonts w:ascii="Arial" w:hAnsi="Arial" w:cs="Arial"/>
          <w:sz w:val="22"/>
          <w:szCs w:val="22"/>
        </w:rPr>
        <w:t>B</w:t>
      </w:r>
      <w:r w:rsidR="00A0106F">
        <w:rPr>
          <w:rFonts w:ascii="Arial" w:hAnsi="Arial" w:cs="Arial"/>
          <w:sz w:val="22"/>
          <w:szCs w:val="22"/>
        </w:rPr>
        <w:t xml:space="preserve">riefly summarize the standard that is described in the </w:t>
      </w:r>
      <w:r w:rsidR="00A0106F" w:rsidRPr="008512D6">
        <w:rPr>
          <w:rFonts w:ascii="Arial" w:hAnsi="Arial" w:cs="Arial"/>
          <w:i/>
          <w:sz w:val="22"/>
          <w:szCs w:val="22"/>
        </w:rPr>
        <w:t>Guide</w:t>
      </w:r>
      <w:r w:rsidR="00A0106F">
        <w:rPr>
          <w:rFonts w:ascii="Arial" w:hAnsi="Arial" w:cs="Arial"/>
          <w:sz w:val="22"/>
          <w:szCs w:val="22"/>
        </w:rPr>
        <w:t xml:space="preserve"> and reference the page nu</w:t>
      </w:r>
      <w:r>
        <w:rPr>
          <w:rFonts w:ascii="Arial" w:hAnsi="Arial" w:cs="Arial"/>
          <w:sz w:val="22"/>
          <w:szCs w:val="22"/>
        </w:rPr>
        <w:t xml:space="preserve">mbers on which it appears. </w:t>
      </w:r>
    </w:p>
    <w:p w:rsidR="00E80EA2" w:rsidRDefault="00E80EA2" w:rsidP="00E80EA2">
      <w:pPr>
        <w:ind w:left="360"/>
        <w:rPr>
          <w:rFonts w:ascii="Arial" w:hAnsi="Arial" w:cs="Arial"/>
          <w:sz w:val="22"/>
          <w:szCs w:val="22"/>
        </w:rPr>
      </w:pPr>
    </w:p>
    <w:p w:rsidR="00A0106F" w:rsidRDefault="00E80EA2" w:rsidP="00E80EA2">
      <w:pPr>
        <w:ind w:left="360"/>
        <w:rPr>
          <w:rFonts w:ascii="Arial" w:hAnsi="Arial" w:cs="Arial"/>
          <w:sz w:val="22"/>
          <w:szCs w:val="22"/>
        </w:rPr>
      </w:pPr>
      <w:r>
        <w:rPr>
          <w:rFonts w:ascii="Arial" w:hAnsi="Arial" w:cs="Arial"/>
          <w:sz w:val="22"/>
          <w:szCs w:val="22"/>
        </w:rPr>
        <w:t>D</w:t>
      </w:r>
      <w:r w:rsidR="00A0106F">
        <w:rPr>
          <w:rFonts w:ascii="Arial" w:hAnsi="Arial" w:cs="Arial"/>
          <w:sz w:val="22"/>
          <w:szCs w:val="22"/>
        </w:rPr>
        <w:t>escri</w:t>
      </w:r>
      <w:r>
        <w:rPr>
          <w:rFonts w:ascii="Arial" w:hAnsi="Arial" w:cs="Arial"/>
          <w:sz w:val="22"/>
          <w:szCs w:val="22"/>
        </w:rPr>
        <w:t>be</w:t>
      </w:r>
      <w:r w:rsidR="00A0106F">
        <w:rPr>
          <w:rFonts w:ascii="Arial" w:hAnsi="Arial" w:cs="Arial"/>
          <w:sz w:val="22"/>
          <w:szCs w:val="22"/>
        </w:rPr>
        <w:t xml:space="preserve"> the specific alternate standard(s) that will be met on this protocol</w:t>
      </w:r>
      <w:r>
        <w:rPr>
          <w:rFonts w:ascii="Arial" w:hAnsi="Arial" w:cs="Arial"/>
          <w:sz w:val="22"/>
          <w:szCs w:val="22"/>
        </w:rPr>
        <w:t>, and how they will be monitored.</w:t>
      </w:r>
    </w:p>
    <w:p w:rsidR="00A0106F" w:rsidRDefault="00A0106F" w:rsidP="00E80EA2">
      <w:pPr>
        <w:ind w:left="360"/>
        <w:rPr>
          <w:rFonts w:ascii="Arial" w:hAnsi="Arial" w:cs="Arial"/>
          <w:sz w:val="22"/>
          <w:szCs w:val="22"/>
        </w:rPr>
      </w:pPr>
    </w:p>
    <w:p w:rsidR="00B55085" w:rsidRPr="00373838" w:rsidRDefault="00E80EA2" w:rsidP="00373838">
      <w:pPr>
        <w:ind w:left="360"/>
        <w:rPr>
          <w:rFonts w:ascii="Arial" w:hAnsi="Arial" w:cs="Arial"/>
          <w:sz w:val="22"/>
          <w:szCs w:val="22"/>
        </w:rPr>
      </w:pPr>
      <w:r>
        <w:rPr>
          <w:rFonts w:ascii="Arial" w:hAnsi="Arial" w:cs="Arial"/>
          <w:sz w:val="22"/>
          <w:szCs w:val="22"/>
        </w:rPr>
        <w:t>Provide t</w:t>
      </w:r>
      <w:r w:rsidR="00A0106F" w:rsidRPr="00542648">
        <w:rPr>
          <w:rFonts w:ascii="Arial" w:hAnsi="Arial" w:cs="Arial"/>
          <w:sz w:val="22"/>
          <w:szCs w:val="22"/>
        </w:rPr>
        <w:t xml:space="preserve">he specific scientific, veterinary medical, or animal welfare </w:t>
      </w:r>
      <w:r w:rsidR="00A0106F">
        <w:rPr>
          <w:rFonts w:ascii="Arial" w:hAnsi="Arial" w:cs="Arial"/>
          <w:sz w:val="22"/>
          <w:szCs w:val="22"/>
        </w:rPr>
        <w:t>consideration</w:t>
      </w:r>
      <w:r w:rsidR="00A0106F" w:rsidRPr="00542648">
        <w:rPr>
          <w:rFonts w:ascii="Arial" w:hAnsi="Arial" w:cs="Arial"/>
          <w:sz w:val="22"/>
          <w:szCs w:val="22"/>
        </w:rPr>
        <w:t>s</w:t>
      </w:r>
      <w:r w:rsidR="00A0106F">
        <w:rPr>
          <w:rFonts w:ascii="Arial" w:hAnsi="Arial" w:cs="Arial"/>
          <w:sz w:val="22"/>
          <w:szCs w:val="22"/>
        </w:rPr>
        <w:t xml:space="preserve"> that justify this</w:t>
      </w:r>
      <w:r w:rsidR="00A0106F" w:rsidRPr="00542648">
        <w:rPr>
          <w:rFonts w:ascii="Arial" w:hAnsi="Arial" w:cs="Arial"/>
          <w:sz w:val="22"/>
          <w:szCs w:val="22"/>
        </w:rPr>
        <w:t xml:space="preserve"> departure.</w:t>
      </w:r>
      <w:bookmarkStart w:id="2" w:name="_GoBack"/>
      <w:bookmarkEnd w:id="2"/>
    </w:p>
    <w:sectPr w:rsidR="00B55085" w:rsidRPr="00373838" w:rsidSect="00EC1A73">
      <w:headerReference w:type="default" r:id="rId9"/>
      <w:pgSz w:w="12240" w:h="15840"/>
      <w:pgMar w:top="72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DF8" w:rsidRDefault="00D04DF8" w:rsidP="00373838">
      <w:r>
        <w:separator/>
      </w:r>
    </w:p>
  </w:endnote>
  <w:endnote w:type="continuationSeparator" w:id="0">
    <w:p w:rsidR="00D04DF8" w:rsidRDefault="00D04DF8" w:rsidP="003738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DF8" w:rsidRDefault="00D04DF8" w:rsidP="00373838">
      <w:r>
        <w:separator/>
      </w:r>
    </w:p>
  </w:footnote>
  <w:footnote w:type="continuationSeparator" w:id="0">
    <w:p w:rsidR="00D04DF8" w:rsidRDefault="00D04DF8" w:rsidP="003738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838" w:rsidRPr="00373838" w:rsidRDefault="00373838" w:rsidP="00373838">
    <w:pPr>
      <w:pStyle w:val="Header"/>
      <w:tabs>
        <w:tab w:val="left" w:pos="5670"/>
      </w:tabs>
      <w:rPr>
        <w:rFonts w:ascii="Arial" w:hAnsi="Arial" w:cs="Arial"/>
        <w:smallCaps/>
        <w:sz w:val="18"/>
        <w:szCs w:val="18"/>
      </w:rPr>
    </w:pPr>
    <w:r>
      <w:rPr>
        <w:rFonts w:ascii="Arial" w:hAnsi="Arial" w:cs="Arial"/>
        <w:smallCaps/>
        <w:sz w:val="18"/>
        <w:szCs w:val="18"/>
      </w:rPr>
      <w:t>ACORP App. 9 Instructions (Ver. 4)</w:t>
    </w:r>
  </w:p>
  <w:p w:rsidR="00373838" w:rsidRDefault="003738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A0A79"/>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0106F"/>
    <w:rsid w:val="00373838"/>
    <w:rsid w:val="006A0863"/>
    <w:rsid w:val="008A5A76"/>
    <w:rsid w:val="00A0106F"/>
    <w:rsid w:val="00BB244B"/>
    <w:rsid w:val="00CC6EEE"/>
    <w:rsid w:val="00D04DF8"/>
    <w:rsid w:val="00DA4B22"/>
    <w:rsid w:val="00E80EA2"/>
    <w:rsid w:val="00EC1A73"/>
    <w:rsid w:val="00F47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6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0106F"/>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0106F"/>
    <w:rPr>
      <w:rFonts w:ascii="Arial" w:eastAsia="SimSun" w:hAnsi="Arial" w:cs="Arial"/>
      <w:b/>
      <w:bCs/>
      <w:sz w:val="30"/>
      <w:szCs w:val="30"/>
    </w:rPr>
  </w:style>
  <w:style w:type="character" w:styleId="Hyperlink">
    <w:name w:val="Hyperlink"/>
    <w:uiPriority w:val="99"/>
    <w:rsid w:val="00F4764E"/>
    <w:rPr>
      <w:rFonts w:ascii="Times New Roman" w:hAnsi="Times New Roman" w:cs="Times New Roman"/>
      <w:color w:val="0000FF"/>
      <w:u w:val="none"/>
    </w:rPr>
  </w:style>
  <w:style w:type="paragraph" w:styleId="BalloonText">
    <w:name w:val="Balloon Text"/>
    <w:basedOn w:val="Normal"/>
    <w:link w:val="BalloonTextChar"/>
    <w:uiPriority w:val="99"/>
    <w:semiHidden/>
    <w:unhideWhenUsed/>
    <w:rsid w:val="00DA4B22"/>
    <w:rPr>
      <w:rFonts w:ascii="Tahoma" w:hAnsi="Tahoma" w:cs="Tahoma"/>
      <w:sz w:val="16"/>
      <w:szCs w:val="16"/>
    </w:rPr>
  </w:style>
  <w:style w:type="character" w:customStyle="1" w:styleId="BalloonTextChar">
    <w:name w:val="Balloon Text Char"/>
    <w:basedOn w:val="DefaultParagraphFont"/>
    <w:link w:val="BalloonText"/>
    <w:uiPriority w:val="99"/>
    <w:semiHidden/>
    <w:rsid w:val="00DA4B22"/>
    <w:rPr>
      <w:rFonts w:ascii="Tahoma" w:eastAsia="SimSun" w:hAnsi="Tahoma" w:cs="Tahoma"/>
      <w:sz w:val="16"/>
      <w:szCs w:val="16"/>
    </w:rPr>
  </w:style>
  <w:style w:type="paragraph" w:styleId="Header">
    <w:name w:val="header"/>
    <w:basedOn w:val="Normal"/>
    <w:link w:val="HeaderChar"/>
    <w:uiPriority w:val="99"/>
    <w:unhideWhenUsed/>
    <w:rsid w:val="00373838"/>
    <w:pPr>
      <w:tabs>
        <w:tab w:val="center" w:pos="4680"/>
        <w:tab w:val="right" w:pos="9360"/>
      </w:tabs>
    </w:pPr>
  </w:style>
  <w:style w:type="character" w:customStyle="1" w:styleId="HeaderChar">
    <w:name w:val="Header Char"/>
    <w:basedOn w:val="DefaultParagraphFont"/>
    <w:link w:val="Header"/>
    <w:uiPriority w:val="99"/>
    <w:rsid w:val="00373838"/>
    <w:rPr>
      <w:rFonts w:ascii="Times New Roman" w:eastAsia="SimSun" w:hAnsi="Times New Roman" w:cs="Times New Roman"/>
      <w:sz w:val="20"/>
      <w:szCs w:val="20"/>
    </w:rPr>
  </w:style>
  <w:style w:type="paragraph" w:styleId="Footer">
    <w:name w:val="footer"/>
    <w:basedOn w:val="Normal"/>
    <w:link w:val="FooterChar"/>
    <w:uiPriority w:val="99"/>
    <w:unhideWhenUsed/>
    <w:rsid w:val="00373838"/>
    <w:pPr>
      <w:tabs>
        <w:tab w:val="center" w:pos="4680"/>
        <w:tab w:val="right" w:pos="9360"/>
      </w:tabs>
    </w:pPr>
  </w:style>
  <w:style w:type="character" w:customStyle="1" w:styleId="FooterChar">
    <w:name w:val="Footer Char"/>
    <w:basedOn w:val="DefaultParagraphFont"/>
    <w:link w:val="Footer"/>
    <w:uiPriority w:val="99"/>
    <w:rsid w:val="00373838"/>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06F"/>
    <w:pPr>
      <w:autoSpaceDE w:val="0"/>
      <w:autoSpaceDN w:val="0"/>
      <w:spacing w:after="0" w:line="240" w:lineRule="auto"/>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A0106F"/>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A0106F"/>
    <w:rPr>
      <w:rFonts w:ascii="Arial" w:eastAsia="SimSun" w:hAnsi="Arial" w:cs="Arial"/>
      <w:b/>
      <w:bCs/>
      <w:sz w:val="30"/>
      <w:szCs w:val="30"/>
    </w:rPr>
  </w:style>
  <w:style w:type="character" w:styleId="Hyperlink">
    <w:name w:val="Hyperlink"/>
    <w:uiPriority w:val="99"/>
    <w:rsid w:val="00F4764E"/>
    <w:rPr>
      <w:rFonts w:ascii="Times New Roman" w:hAnsi="Times New Roman" w:cs="Times New Roman"/>
      <w:color w:val="0000FF"/>
      <w:u w:val="none"/>
    </w:rPr>
  </w:style>
  <w:style w:type="paragraph" w:styleId="BalloonText">
    <w:name w:val="Balloon Text"/>
    <w:basedOn w:val="Normal"/>
    <w:link w:val="BalloonTextChar"/>
    <w:uiPriority w:val="99"/>
    <w:semiHidden/>
    <w:unhideWhenUsed/>
    <w:rsid w:val="00DA4B22"/>
    <w:rPr>
      <w:rFonts w:ascii="Tahoma" w:hAnsi="Tahoma" w:cs="Tahoma"/>
      <w:sz w:val="16"/>
      <w:szCs w:val="16"/>
    </w:rPr>
  </w:style>
  <w:style w:type="character" w:customStyle="1" w:styleId="BalloonTextChar">
    <w:name w:val="Balloon Text Char"/>
    <w:basedOn w:val="DefaultParagraphFont"/>
    <w:link w:val="BalloonText"/>
    <w:uiPriority w:val="99"/>
    <w:semiHidden/>
    <w:rsid w:val="00DA4B22"/>
    <w:rPr>
      <w:rFonts w:ascii="Tahoma" w:eastAsia="SimSun" w:hAnsi="Tahoma" w:cs="Tahoma"/>
      <w:sz w:val="16"/>
      <w:szCs w:val="16"/>
    </w:rPr>
  </w:style>
  <w:style w:type="paragraph" w:styleId="Header">
    <w:name w:val="header"/>
    <w:basedOn w:val="Normal"/>
    <w:link w:val="HeaderChar"/>
    <w:uiPriority w:val="99"/>
    <w:unhideWhenUsed/>
    <w:rsid w:val="00373838"/>
    <w:pPr>
      <w:tabs>
        <w:tab w:val="center" w:pos="4680"/>
        <w:tab w:val="right" w:pos="9360"/>
      </w:tabs>
    </w:pPr>
  </w:style>
  <w:style w:type="character" w:customStyle="1" w:styleId="HeaderChar">
    <w:name w:val="Header Char"/>
    <w:basedOn w:val="DefaultParagraphFont"/>
    <w:link w:val="Header"/>
    <w:uiPriority w:val="99"/>
    <w:rsid w:val="00373838"/>
    <w:rPr>
      <w:rFonts w:ascii="Times New Roman" w:eastAsia="SimSun" w:hAnsi="Times New Roman" w:cs="Times New Roman"/>
      <w:sz w:val="20"/>
      <w:szCs w:val="20"/>
    </w:rPr>
  </w:style>
  <w:style w:type="paragraph" w:styleId="Footer">
    <w:name w:val="footer"/>
    <w:basedOn w:val="Normal"/>
    <w:link w:val="FooterChar"/>
    <w:uiPriority w:val="99"/>
    <w:unhideWhenUsed/>
    <w:rsid w:val="00373838"/>
    <w:pPr>
      <w:tabs>
        <w:tab w:val="center" w:pos="4680"/>
        <w:tab w:val="right" w:pos="9360"/>
      </w:tabs>
    </w:pPr>
  </w:style>
  <w:style w:type="character" w:customStyle="1" w:styleId="FooterChar">
    <w:name w:val="Footer Char"/>
    <w:basedOn w:val="DefaultParagraphFont"/>
    <w:link w:val="Footer"/>
    <w:uiPriority w:val="99"/>
    <w:rsid w:val="00373838"/>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research.va.gov/programs/animal_research/"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theACORP Appendix 9 -- Departures from “Must” and “Should” Standards in the Guide(ACORP App. 9 Instructions)Version 4</dc:title>
  <dc:subject>Instructions for Completion of theACORP Appendix 9 -- Departures from “Must” and “Should” Standards in the Guide(ACORP App. 9 Instructions)Version 4</dc:subject>
  <dc:creator>Huang, Alice</dc:creator>
  <cp:keywords>Instructions for Completion of theACORP Appendix 9 -- Departures from “Must” and “Should” Standards in the Guide(ACORP App. 9 Instructions)Version 4</cp:keywords>
  <cp:lastModifiedBy>vhabhsriverp</cp:lastModifiedBy>
  <cp:revision>7</cp:revision>
  <dcterms:created xsi:type="dcterms:W3CDTF">2013-01-04T13:56:00Z</dcterms:created>
  <dcterms:modified xsi:type="dcterms:W3CDTF">2013-01-29T16:29:00Z</dcterms:modified>
</cp:coreProperties>
</file>