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24" w:rsidRPr="000A2908" w:rsidRDefault="00137324" w:rsidP="00137324">
      <w:pPr>
        <w:rPr>
          <w:rFonts w:ascii="Cambria" w:hAnsi="Cambria" w:cs="Arial"/>
          <w:color w:val="1F497D"/>
          <w:sz w:val="28"/>
          <w:szCs w:val="28"/>
        </w:rPr>
      </w:pPr>
      <w:bookmarkStart w:id="0" w:name="_GoBack"/>
      <w:r>
        <w:rPr>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908">
        <w:rPr>
          <w:rFonts w:cs="Arial"/>
          <w:b/>
          <w:color w:val="1F497D"/>
          <w:sz w:val="28"/>
          <w:szCs w:val="28"/>
        </w:rPr>
        <w:t>IA</w:t>
      </w:r>
      <w:r>
        <w:rPr>
          <w:b/>
          <w:color w:val="1F497D"/>
          <w:sz w:val="28"/>
          <w:szCs w:val="28"/>
        </w:rPr>
        <w:t>CUC Training Exercise #3</w:t>
      </w:r>
      <w:r w:rsidRPr="000A2908">
        <w:rPr>
          <w:b/>
          <w:color w:val="1F497D"/>
          <w:sz w:val="28"/>
          <w:szCs w:val="28"/>
        </w:rPr>
        <w:t xml:space="preserve"> - 201</w:t>
      </w:r>
      <w:r>
        <w:rPr>
          <w:b/>
          <w:color w:val="1F497D"/>
          <w:sz w:val="28"/>
          <w:szCs w:val="28"/>
        </w:rPr>
        <w:t>7</w:t>
      </w:r>
    </w:p>
    <w:bookmarkEnd w:id="0"/>
    <w:p w:rsidR="00137324" w:rsidRPr="001C79B2" w:rsidRDefault="00137324" w:rsidP="00137324">
      <w:pPr>
        <w:pStyle w:val="NoSpacing"/>
        <w:rPr>
          <w:rFonts w:ascii="Times New Roman" w:hAnsi="Times New Roman"/>
          <w:color w:val="1F497D"/>
          <w:sz w:val="24"/>
          <w:szCs w:val="24"/>
        </w:rPr>
      </w:pPr>
      <w:r w:rsidRPr="001C79B2">
        <w:rPr>
          <w:rFonts w:ascii="Times New Roman" w:hAnsi="Times New Roman"/>
          <w:color w:val="1F497D"/>
          <w:sz w:val="24"/>
          <w:szCs w:val="24"/>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remainder of the exercise may be distributed to provide ideas for the committee’s consideration.  </w:t>
      </w:r>
    </w:p>
    <w:p w:rsidR="003C1B78" w:rsidRDefault="003C1B78"/>
    <w:p w:rsidR="00850E1A" w:rsidRPr="00810E4F" w:rsidRDefault="00526D6D" w:rsidP="00526D6D">
      <w:pPr>
        <w:rPr>
          <w:sz w:val="24"/>
          <w:szCs w:val="24"/>
        </w:rPr>
      </w:pPr>
      <w:r w:rsidRPr="00810E4F">
        <w:rPr>
          <w:sz w:val="24"/>
          <w:szCs w:val="24"/>
        </w:rPr>
        <w:t xml:space="preserve">Local attorney, Sperry Blackburn, was known for always being prepared and for being a quick study.  </w:t>
      </w:r>
      <w:r w:rsidR="00E445CB" w:rsidRPr="00810E4F">
        <w:rPr>
          <w:sz w:val="24"/>
          <w:szCs w:val="24"/>
        </w:rPr>
        <w:t>Sperry was good friend of</w:t>
      </w:r>
      <w:r w:rsidRPr="00810E4F">
        <w:rPr>
          <w:sz w:val="24"/>
          <w:szCs w:val="24"/>
        </w:rPr>
        <w:t xml:space="preserve"> Dr. Diaz, the Attending Veterinarian.   Dr. Diaz had asked if he would be willing to serve on the VA-IACUC; when he received an email from the </w:t>
      </w:r>
      <w:r w:rsidR="0064118E" w:rsidRPr="00810E4F">
        <w:rPr>
          <w:sz w:val="24"/>
          <w:szCs w:val="24"/>
        </w:rPr>
        <w:t>Hometown Medical Central Director appointing</w:t>
      </w:r>
      <w:r w:rsidRPr="00810E4F">
        <w:rPr>
          <w:sz w:val="24"/>
          <w:szCs w:val="24"/>
        </w:rPr>
        <w:t xml:space="preserve"> him to serve as a </w:t>
      </w:r>
      <w:r w:rsidR="0064118E" w:rsidRPr="00810E4F">
        <w:rPr>
          <w:sz w:val="24"/>
          <w:szCs w:val="24"/>
        </w:rPr>
        <w:t>nonscientific member, he</w:t>
      </w:r>
      <w:r w:rsidRPr="00810E4F">
        <w:rPr>
          <w:sz w:val="24"/>
          <w:szCs w:val="24"/>
        </w:rPr>
        <w:t xml:space="preserve"> agreed.   This afternoon’s </w:t>
      </w:r>
      <w:r w:rsidR="0016501B">
        <w:rPr>
          <w:sz w:val="24"/>
          <w:szCs w:val="24"/>
        </w:rPr>
        <w:t xml:space="preserve">IACUC </w:t>
      </w:r>
      <w:r w:rsidRPr="00810E4F">
        <w:rPr>
          <w:sz w:val="24"/>
          <w:szCs w:val="24"/>
        </w:rPr>
        <w:t xml:space="preserve">meeting would be his third; as he became more familiar </w:t>
      </w:r>
      <w:r w:rsidR="00E445CB" w:rsidRPr="00810E4F">
        <w:rPr>
          <w:sz w:val="24"/>
          <w:szCs w:val="24"/>
        </w:rPr>
        <w:t>with the process, he began</w:t>
      </w:r>
      <w:r w:rsidRPr="00810E4F">
        <w:rPr>
          <w:sz w:val="24"/>
          <w:szCs w:val="24"/>
        </w:rPr>
        <w:t xml:space="preserve"> to have more questions.   He was particularly concerned about a protocol that used a mouse model of </w:t>
      </w:r>
      <w:r w:rsidR="00D14F0E" w:rsidRPr="00810E4F">
        <w:rPr>
          <w:sz w:val="24"/>
          <w:szCs w:val="24"/>
        </w:rPr>
        <w:t xml:space="preserve">arrhythmogenic right ventricular cardiomyopathy/dysplasia (ARVC/D), a heritable cardiomyopathy.  </w:t>
      </w:r>
      <w:r w:rsidR="00654243">
        <w:rPr>
          <w:sz w:val="24"/>
          <w:szCs w:val="24"/>
        </w:rPr>
        <w:t>In the protocol,</w:t>
      </w:r>
      <w:r w:rsidR="00D14F0E" w:rsidRPr="00810E4F">
        <w:rPr>
          <w:sz w:val="24"/>
          <w:szCs w:val="24"/>
        </w:rPr>
        <w:t xml:space="preserve"> the IACUC was reviewing to</w:t>
      </w:r>
      <w:r w:rsidR="0016501B">
        <w:rPr>
          <w:sz w:val="24"/>
          <w:szCs w:val="24"/>
        </w:rPr>
        <w:t>day, the investigator had simply said</w:t>
      </w:r>
      <w:r w:rsidR="00D14F0E" w:rsidRPr="00810E4F">
        <w:rPr>
          <w:sz w:val="24"/>
          <w:szCs w:val="24"/>
        </w:rPr>
        <w:t xml:space="preserve"> he planned to</w:t>
      </w:r>
      <w:r w:rsidR="00B47A66" w:rsidRPr="00810E4F">
        <w:rPr>
          <w:sz w:val="24"/>
          <w:szCs w:val="24"/>
        </w:rPr>
        <w:t xml:space="preserve"> use </w:t>
      </w:r>
      <w:r w:rsidR="00D14F0E" w:rsidRPr="00810E4F">
        <w:rPr>
          <w:sz w:val="24"/>
          <w:szCs w:val="24"/>
        </w:rPr>
        <w:t xml:space="preserve">heterozygous Dsp-deficient mice because they were the best model of human </w:t>
      </w:r>
      <w:r w:rsidR="00850E1A" w:rsidRPr="00810E4F">
        <w:rPr>
          <w:sz w:val="24"/>
          <w:szCs w:val="24"/>
        </w:rPr>
        <w:t xml:space="preserve">ARVC/D and his previous work was performed using these mice. </w:t>
      </w:r>
      <w:r w:rsidR="00D14F0E" w:rsidRPr="00810E4F">
        <w:rPr>
          <w:sz w:val="24"/>
          <w:szCs w:val="24"/>
        </w:rPr>
        <w:t xml:space="preserve"> </w:t>
      </w:r>
      <w:r w:rsidR="00B47A66" w:rsidRPr="00810E4F">
        <w:rPr>
          <w:sz w:val="24"/>
          <w:szCs w:val="24"/>
        </w:rPr>
        <w:t>Sperry had learned as an attorney to accept very few thin</w:t>
      </w:r>
      <w:r w:rsidR="00F6635C" w:rsidRPr="00810E4F">
        <w:rPr>
          <w:sz w:val="24"/>
          <w:szCs w:val="24"/>
        </w:rPr>
        <w:t>gs at face value so he did an on-line literature search for</w:t>
      </w:r>
      <w:r w:rsidR="00B47A66" w:rsidRPr="00810E4F">
        <w:rPr>
          <w:sz w:val="24"/>
          <w:szCs w:val="24"/>
        </w:rPr>
        <w:t xml:space="preserve"> animal models of heritable cardiomyopathy.  He discovered not</w:t>
      </w:r>
      <w:r w:rsidR="00E445CB" w:rsidRPr="00810E4F">
        <w:rPr>
          <w:sz w:val="24"/>
          <w:szCs w:val="24"/>
        </w:rPr>
        <w:t xml:space="preserve"> only were there more mouse models</w:t>
      </w:r>
      <w:r w:rsidR="00B47A66" w:rsidRPr="00810E4F">
        <w:rPr>
          <w:sz w:val="24"/>
          <w:szCs w:val="24"/>
        </w:rPr>
        <w:t xml:space="preserve"> (i.e. six) than the </w:t>
      </w:r>
      <w:r w:rsidR="00E445CB" w:rsidRPr="00810E4F">
        <w:rPr>
          <w:sz w:val="24"/>
          <w:szCs w:val="24"/>
        </w:rPr>
        <w:t xml:space="preserve"> Dsp-deficient mouse model</w:t>
      </w:r>
      <w:r w:rsidR="00B47A66" w:rsidRPr="00810E4F">
        <w:rPr>
          <w:sz w:val="24"/>
          <w:szCs w:val="24"/>
        </w:rPr>
        <w:t xml:space="preserve"> </w:t>
      </w:r>
      <w:r w:rsidR="00E445CB" w:rsidRPr="00810E4F">
        <w:rPr>
          <w:sz w:val="24"/>
          <w:szCs w:val="24"/>
        </w:rPr>
        <w:t xml:space="preserve">but the investigator </w:t>
      </w:r>
      <w:r w:rsidR="00B47A66" w:rsidRPr="00810E4F">
        <w:rPr>
          <w:sz w:val="24"/>
          <w:szCs w:val="24"/>
        </w:rPr>
        <w:t xml:space="preserve">could have also considered using </w:t>
      </w:r>
      <w:r w:rsidR="00E445CB" w:rsidRPr="00810E4F">
        <w:rPr>
          <w:sz w:val="24"/>
          <w:szCs w:val="24"/>
        </w:rPr>
        <w:t xml:space="preserve">a </w:t>
      </w:r>
      <w:r w:rsidR="00B47A66" w:rsidRPr="00810E4F">
        <w:rPr>
          <w:sz w:val="24"/>
          <w:szCs w:val="24"/>
        </w:rPr>
        <w:t>zebrafish, transgenic rabbit</w:t>
      </w:r>
      <w:r w:rsidR="00E445CB" w:rsidRPr="00810E4F">
        <w:rPr>
          <w:sz w:val="24"/>
          <w:szCs w:val="24"/>
        </w:rPr>
        <w:t>, or  spontaneous dog model</w:t>
      </w:r>
      <w:r w:rsidR="00B47A66" w:rsidRPr="00810E4F">
        <w:rPr>
          <w:sz w:val="24"/>
          <w:szCs w:val="24"/>
        </w:rPr>
        <w:t>.</w:t>
      </w:r>
      <w:r w:rsidR="00F6635C" w:rsidRPr="00810E4F">
        <w:rPr>
          <w:sz w:val="24"/>
          <w:szCs w:val="24"/>
        </w:rPr>
        <w:t xml:space="preserve">  A little more searching</w:t>
      </w:r>
      <w:r w:rsidR="00654243">
        <w:rPr>
          <w:sz w:val="24"/>
          <w:szCs w:val="24"/>
        </w:rPr>
        <w:t xml:space="preserve"> le</w:t>
      </w:r>
      <w:r w:rsidR="0064118E" w:rsidRPr="00810E4F">
        <w:rPr>
          <w:sz w:val="24"/>
          <w:szCs w:val="24"/>
        </w:rPr>
        <w:t>d to Sperry discover</w:t>
      </w:r>
      <w:r w:rsidR="00F843D2" w:rsidRPr="00810E4F">
        <w:rPr>
          <w:sz w:val="24"/>
          <w:szCs w:val="24"/>
        </w:rPr>
        <w:t>i</w:t>
      </w:r>
      <w:r w:rsidR="0064543B" w:rsidRPr="00810E4F">
        <w:rPr>
          <w:sz w:val="24"/>
          <w:szCs w:val="24"/>
        </w:rPr>
        <w:t>ng</w:t>
      </w:r>
      <w:r w:rsidR="00B47A66" w:rsidRPr="00810E4F">
        <w:rPr>
          <w:sz w:val="24"/>
          <w:szCs w:val="24"/>
        </w:rPr>
        <w:t xml:space="preserve"> an investigator’</w:t>
      </w:r>
      <w:r w:rsidR="0064118E" w:rsidRPr="00810E4F">
        <w:rPr>
          <w:sz w:val="24"/>
          <w:szCs w:val="24"/>
        </w:rPr>
        <w:t>s research</w:t>
      </w:r>
      <w:r w:rsidR="00B47A66" w:rsidRPr="00810E4F">
        <w:rPr>
          <w:sz w:val="24"/>
          <w:szCs w:val="24"/>
        </w:rPr>
        <w:t xml:space="preserve"> that used fruit flies, </w:t>
      </w:r>
      <w:r w:rsidR="00E445CB" w:rsidRPr="00810E4F">
        <w:rPr>
          <w:i/>
          <w:sz w:val="24"/>
          <w:szCs w:val="24"/>
        </w:rPr>
        <w:t>Drosophila</w:t>
      </w:r>
      <w:r w:rsidR="00B47A66" w:rsidRPr="00810E4F">
        <w:rPr>
          <w:i/>
          <w:sz w:val="24"/>
          <w:szCs w:val="24"/>
        </w:rPr>
        <w:t xml:space="preserve"> melanogaster,</w:t>
      </w:r>
      <w:r w:rsidR="00B47A66" w:rsidRPr="00810E4F">
        <w:rPr>
          <w:sz w:val="24"/>
          <w:szCs w:val="24"/>
        </w:rPr>
        <w:t xml:space="preserve"> to study specific genetic errors associated with heart disease.  </w:t>
      </w:r>
      <w:r w:rsidR="00654243">
        <w:rPr>
          <w:sz w:val="24"/>
          <w:szCs w:val="24"/>
        </w:rPr>
        <w:t xml:space="preserve"> Sperry</w:t>
      </w:r>
      <w:r w:rsidR="00B737AC" w:rsidRPr="00810E4F">
        <w:rPr>
          <w:sz w:val="24"/>
          <w:szCs w:val="24"/>
        </w:rPr>
        <w:t xml:space="preserve"> realized</w:t>
      </w:r>
      <w:r w:rsidR="00850E1A" w:rsidRPr="00810E4F">
        <w:rPr>
          <w:sz w:val="24"/>
          <w:szCs w:val="24"/>
        </w:rPr>
        <w:t xml:space="preserve"> he was not a scientist but </w:t>
      </w:r>
      <w:r w:rsidR="00E445CB" w:rsidRPr="00810E4F">
        <w:rPr>
          <w:sz w:val="24"/>
          <w:szCs w:val="24"/>
        </w:rPr>
        <w:t>h</w:t>
      </w:r>
      <w:r w:rsidR="00850E1A" w:rsidRPr="00810E4F">
        <w:rPr>
          <w:sz w:val="24"/>
          <w:szCs w:val="24"/>
        </w:rPr>
        <w:t>e al</w:t>
      </w:r>
      <w:r w:rsidR="0016501B">
        <w:rPr>
          <w:sz w:val="24"/>
          <w:szCs w:val="24"/>
        </w:rPr>
        <w:t>so knew he wasn’t satisfied</w:t>
      </w:r>
      <w:r w:rsidR="00850E1A" w:rsidRPr="00810E4F">
        <w:rPr>
          <w:sz w:val="24"/>
          <w:szCs w:val="24"/>
        </w:rPr>
        <w:t xml:space="preserve"> the investigator had presented a sound argument for using heterozygous Dsp-deficient mice in his study as opposed to the other mammalian models or even the</w:t>
      </w:r>
      <w:r w:rsidR="0016501B">
        <w:rPr>
          <w:sz w:val="24"/>
          <w:szCs w:val="24"/>
        </w:rPr>
        <w:t xml:space="preserve"> zebrafish or</w:t>
      </w:r>
      <w:r w:rsidR="00850E1A" w:rsidRPr="00810E4F">
        <w:rPr>
          <w:sz w:val="24"/>
          <w:szCs w:val="24"/>
        </w:rPr>
        <w:t xml:space="preserve"> fruit fly model</w:t>
      </w:r>
      <w:r w:rsidR="0016501B">
        <w:rPr>
          <w:sz w:val="24"/>
          <w:szCs w:val="24"/>
        </w:rPr>
        <w:t>s</w:t>
      </w:r>
      <w:r w:rsidR="00850E1A" w:rsidRPr="00810E4F">
        <w:rPr>
          <w:sz w:val="24"/>
          <w:szCs w:val="24"/>
        </w:rPr>
        <w:t>. Sperry made some notes on his findings and was ready</w:t>
      </w:r>
      <w:r w:rsidR="00E445CB" w:rsidRPr="00810E4F">
        <w:rPr>
          <w:sz w:val="24"/>
          <w:szCs w:val="24"/>
        </w:rPr>
        <w:t xml:space="preserve"> to discuss his concerns</w:t>
      </w:r>
      <w:r w:rsidR="00850E1A" w:rsidRPr="00810E4F">
        <w:rPr>
          <w:sz w:val="24"/>
          <w:szCs w:val="24"/>
        </w:rPr>
        <w:t xml:space="preserve"> wh</w:t>
      </w:r>
      <w:r w:rsidR="00E445CB" w:rsidRPr="00810E4F">
        <w:rPr>
          <w:sz w:val="24"/>
          <w:szCs w:val="24"/>
        </w:rPr>
        <w:t>en the IACUC Chair called for questions</w:t>
      </w:r>
      <w:r w:rsidR="00850E1A" w:rsidRPr="00810E4F">
        <w:rPr>
          <w:sz w:val="24"/>
          <w:szCs w:val="24"/>
        </w:rPr>
        <w:t xml:space="preserve"> about the ARVC/D protocol.</w:t>
      </w:r>
    </w:p>
    <w:p w:rsidR="00850E1A" w:rsidRPr="00810E4F" w:rsidRDefault="00850E1A" w:rsidP="00526D6D">
      <w:pPr>
        <w:rPr>
          <w:sz w:val="24"/>
          <w:szCs w:val="24"/>
        </w:rPr>
      </w:pPr>
      <w:r w:rsidRPr="00810E4F">
        <w:rPr>
          <w:sz w:val="24"/>
          <w:szCs w:val="24"/>
        </w:rPr>
        <w:t>Do you think Sperry’</w:t>
      </w:r>
      <w:r w:rsidR="0064118E" w:rsidRPr="00810E4F">
        <w:rPr>
          <w:sz w:val="24"/>
          <w:szCs w:val="24"/>
        </w:rPr>
        <w:t>s concerns about the investigator not adequately justifying his model selection</w:t>
      </w:r>
      <w:r w:rsidRPr="00810E4F">
        <w:rPr>
          <w:sz w:val="24"/>
          <w:szCs w:val="24"/>
        </w:rPr>
        <w:t xml:space="preserve"> are reasonable?</w:t>
      </w:r>
    </w:p>
    <w:p w:rsidR="00850E1A" w:rsidRPr="00810E4F" w:rsidRDefault="00850E1A" w:rsidP="00526D6D">
      <w:pPr>
        <w:rPr>
          <w:sz w:val="24"/>
          <w:szCs w:val="24"/>
        </w:rPr>
      </w:pPr>
    </w:p>
    <w:p w:rsidR="00526D6D" w:rsidRPr="00810E4F" w:rsidRDefault="00526D6D">
      <w:pPr>
        <w:rPr>
          <w:sz w:val="24"/>
          <w:szCs w:val="24"/>
          <w:vertAlign w:val="superscript"/>
        </w:rPr>
      </w:pPr>
    </w:p>
    <w:p w:rsidR="00E445CB" w:rsidRPr="00810E4F" w:rsidRDefault="00E445CB" w:rsidP="00810E4F">
      <w:pPr>
        <w:rPr>
          <w:sz w:val="24"/>
          <w:szCs w:val="24"/>
          <w:vertAlign w:val="superscript"/>
        </w:rPr>
      </w:pPr>
    </w:p>
    <w:p w:rsidR="00E445CB" w:rsidRPr="00810E4F" w:rsidRDefault="00E445CB">
      <w:pPr>
        <w:rPr>
          <w:sz w:val="24"/>
          <w:szCs w:val="24"/>
        </w:rPr>
      </w:pPr>
    </w:p>
    <w:p w:rsidR="00810E4F" w:rsidRPr="00810E4F" w:rsidRDefault="005B65FF">
      <w:pPr>
        <w:rPr>
          <w:sz w:val="24"/>
          <w:szCs w:val="24"/>
        </w:rPr>
      </w:pPr>
      <w:r w:rsidRPr="00810E4F">
        <w:rPr>
          <w:sz w:val="24"/>
          <w:szCs w:val="24"/>
        </w:rPr>
        <w:lastRenderedPageBreak/>
        <w:t xml:space="preserve">An overview of the ARVC/D protocol was presented by the </w:t>
      </w:r>
      <w:r w:rsidR="00C9308B" w:rsidRPr="00810E4F">
        <w:rPr>
          <w:sz w:val="24"/>
          <w:szCs w:val="24"/>
        </w:rPr>
        <w:t>two assigned</w:t>
      </w:r>
      <w:r w:rsidR="00B737AC" w:rsidRPr="00810E4F">
        <w:rPr>
          <w:sz w:val="24"/>
          <w:szCs w:val="24"/>
        </w:rPr>
        <w:t xml:space="preserve"> </w:t>
      </w:r>
      <w:r w:rsidRPr="00810E4F">
        <w:rPr>
          <w:sz w:val="24"/>
          <w:szCs w:val="24"/>
        </w:rPr>
        <w:t>reviewers and then the IACUC Chair called for discussion.   Sperry presented his findings to the other IACUC members and voiced his concern that a strong justification for the use of the heterozygous Dsp-deficient mice model had not been provided by the investigator.   Several other committee members expressed similar views; Dr. Rossi, the IACUC Chair, interjected that all animal models are not</w:t>
      </w:r>
      <w:r w:rsidR="0064543B" w:rsidRPr="00810E4F">
        <w:rPr>
          <w:sz w:val="24"/>
          <w:szCs w:val="24"/>
        </w:rPr>
        <w:t xml:space="preserve"> equal and the investigator may</w:t>
      </w:r>
      <w:r w:rsidRPr="00810E4F">
        <w:rPr>
          <w:sz w:val="24"/>
          <w:szCs w:val="24"/>
        </w:rPr>
        <w:t xml:space="preserve"> have had a valid reason for his model selection. </w:t>
      </w:r>
      <w:r w:rsidR="0016501B">
        <w:rPr>
          <w:sz w:val="24"/>
          <w:szCs w:val="24"/>
        </w:rPr>
        <w:t>After a bit more discussion,</w:t>
      </w:r>
      <w:r w:rsidRPr="00810E4F">
        <w:rPr>
          <w:sz w:val="24"/>
          <w:szCs w:val="24"/>
        </w:rPr>
        <w:t xml:space="preserve"> </w:t>
      </w:r>
      <w:r w:rsidR="0016501B">
        <w:rPr>
          <w:sz w:val="24"/>
          <w:szCs w:val="24"/>
        </w:rPr>
        <w:t>t</w:t>
      </w:r>
      <w:r w:rsidR="00F42850" w:rsidRPr="00810E4F">
        <w:rPr>
          <w:sz w:val="24"/>
          <w:szCs w:val="24"/>
        </w:rPr>
        <w:t>he committee voted unanimously that a revised a</w:t>
      </w:r>
      <w:r w:rsidR="0016501B">
        <w:rPr>
          <w:sz w:val="24"/>
          <w:szCs w:val="24"/>
        </w:rPr>
        <w:t>nimal/species justification</w:t>
      </w:r>
      <w:r w:rsidR="00F42850" w:rsidRPr="00810E4F">
        <w:rPr>
          <w:sz w:val="24"/>
          <w:szCs w:val="24"/>
        </w:rPr>
        <w:t xml:space="preserve"> clearl</w:t>
      </w:r>
      <w:r w:rsidR="0016501B">
        <w:rPr>
          <w:sz w:val="24"/>
          <w:szCs w:val="24"/>
        </w:rPr>
        <w:t>y detailing</w:t>
      </w:r>
      <w:r w:rsidR="00654243">
        <w:rPr>
          <w:sz w:val="24"/>
          <w:szCs w:val="24"/>
        </w:rPr>
        <w:t xml:space="preserve"> the rationale for the</w:t>
      </w:r>
      <w:r w:rsidR="00F42850" w:rsidRPr="00810E4F">
        <w:rPr>
          <w:sz w:val="24"/>
          <w:szCs w:val="24"/>
        </w:rPr>
        <w:t xml:space="preserve"> selected model be a modification required to secure approval.  The IACUC Office notified the investigator that</w:t>
      </w:r>
      <w:r w:rsidR="0016501B">
        <w:rPr>
          <w:sz w:val="24"/>
          <w:szCs w:val="24"/>
        </w:rPr>
        <w:t xml:space="preserve"> modification of</w:t>
      </w:r>
      <w:r w:rsidR="00F42850" w:rsidRPr="00810E4F">
        <w:rPr>
          <w:sz w:val="24"/>
          <w:szCs w:val="24"/>
        </w:rPr>
        <w:t xml:space="preserve"> the animal/species justifi</w:t>
      </w:r>
      <w:r w:rsidR="00810E4F">
        <w:rPr>
          <w:sz w:val="24"/>
          <w:szCs w:val="24"/>
        </w:rPr>
        <w:t xml:space="preserve">cation </w:t>
      </w:r>
      <w:r w:rsidR="0016501B">
        <w:rPr>
          <w:sz w:val="24"/>
          <w:szCs w:val="24"/>
        </w:rPr>
        <w:t>was required to obtain protocol approval</w:t>
      </w:r>
      <w:r w:rsidR="00810E4F">
        <w:rPr>
          <w:sz w:val="24"/>
          <w:szCs w:val="24"/>
        </w:rPr>
        <w:t>; the investigator</w:t>
      </w:r>
      <w:r w:rsidR="00F42850" w:rsidRPr="00810E4F">
        <w:rPr>
          <w:sz w:val="24"/>
          <w:szCs w:val="24"/>
        </w:rPr>
        <w:t xml:space="preserve"> promptly provided the following response.</w:t>
      </w:r>
    </w:p>
    <w:p w:rsidR="00B81C36" w:rsidRPr="00810E4F" w:rsidRDefault="00F42850" w:rsidP="00C9308B">
      <w:pPr>
        <w:ind w:left="720"/>
        <w:rPr>
          <w:rFonts w:asciiTheme="minorHAnsi" w:hAnsiTheme="minorHAnsi"/>
          <w:i/>
          <w:sz w:val="24"/>
          <w:szCs w:val="24"/>
        </w:rPr>
      </w:pPr>
      <w:r w:rsidRPr="00810E4F">
        <w:rPr>
          <w:rFonts w:asciiTheme="minorHAnsi" w:hAnsiTheme="minorHAnsi"/>
          <w:i/>
          <w:sz w:val="24"/>
          <w:szCs w:val="24"/>
        </w:rPr>
        <w:t xml:space="preserve">Preliminary studies were performed in vitro using cardiac myocytes isolated </w:t>
      </w:r>
      <w:r w:rsidR="00515FCC" w:rsidRPr="00810E4F">
        <w:rPr>
          <w:rFonts w:asciiTheme="minorHAnsi" w:hAnsiTheme="minorHAnsi"/>
          <w:i/>
          <w:sz w:val="24"/>
          <w:szCs w:val="24"/>
        </w:rPr>
        <w:t>from human</w:t>
      </w:r>
      <w:r w:rsidR="00810E4F">
        <w:rPr>
          <w:rFonts w:asciiTheme="minorHAnsi" w:hAnsiTheme="minorHAnsi"/>
          <w:i/>
          <w:sz w:val="24"/>
          <w:szCs w:val="24"/>
        </w:rPr>
        <w:t xml:space="preserve"> ARVC/D biopsy samples but </w:t>
      </w:r>
      <w:r w:rsidR="002F204B">
        <w:rPr>
          <w:rFonts w:asciiTheme="minorHAnsi" w:hAnsiTheme="minorHAnsi"/>
          <w:i/>
          <w:sz w:val="24"/>
          <w:szCs w:val="24"/>
        </w:rPr>
        <w:t xml:space="preserve">a whole animal is </w:t>
      </w:r>
      <w:r w:rsidR="00654243">
        <w:rPr>
          <w:rFonts w:asciiTheme="minorHAnsi" w:hAnsiTheme="minorHAnsi"/>
          <w:i/>
          <w:sz w:val="24"/>
          <w:szCs w:val="24"/>
        </w:rPr>
        <w:t xml:space="preserve">now </w:t>
      </w:r>
      <w:r w:rsidR="002F204B">
        <w:rPr>
          <w:rFonts w:asciiTheme="minorHAnsi" w:hAnsiTheme="minorHAnsi"/>
          <w:i/>
          <w:sz w:val="24"/>
          <w:szCs w:val="24"/>
        </w:rPr>
        <w:t xml:space="preserve">needed to appropriately model the physiology and pathology </w:t>
      </w:r>
      <w:r w:rsidR="0016501B">
        <w:rPr>
          <w:rFonts w:asciiTheme="minorHAnsi" w:hAnsiTheme="minorHAnsi"/>
          <w:i/>
          <w:sz w:val="24"/>
          <w:szCs w:val="24"/>
        </w:rPr>
        <w:t>of this disease</w:t>
      </w:r>
      <w:r w:rsidR="002F204B">
        <w:rPr>
          <w:rFonts w:asciiTheme="minorHAnsi" w:hAnsiTheme="minorHAnsi"/>
          <w:i/>
          <w:sz w:val="24"/>
          <w:szCs w:val="24"/>
        </w:rPr>
        <w:t>.</w:t>
      </w:r>
      <w:r w:rsidRPr="00810E4F">
        <w:rPr>
          <w:rFonts w:asciiTheme="minorHAnsi" w:hAnsiTheme="minorHAnsi"/>
          <w:i/>
          <w:sz w:val="24"/>
          <w:szCs w:val="24"/>
        </w:rPr>
        <w:t xml:space="preserve"> </w:t>
      </w:r>
      <w:r w:rsidR="0016501B">
        <w:rPr>
          <w:rFonts w:asciiTheme="minorHAnsi" w:hAnsiTheme="minorHAnsi"/>
          <w:i/>
          <w:sz w:val="24"/>
          <w:szCs w:val="24"/>
        </w:rPr>
        <w:t xml:space="preserve"> H</w:t>
      </w:r>
      <w:r w:rsidR="00515FCC" w:rsidRPr="00810E4F">
        <w:rPr>
          <w:rFonts w:asciiTheme="minorHAnsi" w:hAnsiTheme="minorHAnsi"/>
          <w:i/>
          <w:sz w:val="24"/>
          <w:szCs w:val="24"/>
          <w:lang w:val="en"/>
        </w:rPr>
        <w:t xml:space="preserve">eterozygous </w:t>
      </w:r>
      <w:r w:rsidR="00515FCC" w:rsidRPr="00810E4F">
        <w:rPr>
          <w:rStyle w:val="Emphasis"/>
          <w:rFonts w:asciiTheme="minorHAnsi" w:hAnsiTheme="minorHAnsi"/>
          <w:i w:val="0"/>
          <w:sz w:val="24"/>
          <w:szCs w:val="24"/>
          <w:lang w:val="en"/>
        </w:rPr>
        <w:t>Dsp</w:t>
      </w:r>
      <w:r w:rsidR="00515FCC" w:rsidRPr="00810E4F">
        <w:rPr>
          <w:rFonts w:asciiTheme="minorHAnsi" w:hAnsiTheme="minorHAnsi"/>
          <w:i/>
          <w:sz w:val="24"/>
          <w:szCs w:val="24"/>
          <w:lang w:val="en"/>
        </w:rPr>
        <w:t xml:space="preserve">-deficient mice </w:t>
      </w:r>
      <w:r w:rsidR="00810E4F">
        <w:rPr>
          <w:rFonts w:asciiTheme="minorHAnsi" w:hAnsiTheme="minorHAnsi"/>
          <w:i/>
          <w:sz w:val="24"/>
          <w:szCs w:val="24"/>
          <w:lang w:val="en"/>
        </w:rPr>
        <w:t>exhibit</w:t>
      </w:r>
      <w:r w:rsidR="002368B5" w:rsidRPr="00810E4F">
        <w:rPr>
          <w:rFonts w:asciiTheme="minorHAnsi" w:hAnsiTheme="minorHAnsi"/>
          <w:i/>
          <w:sz w:val="24"/>
          <w:szCs w:val="24"/>
          <w:lang w:val="en"/>
        </w:rPr>
        <w:t xml:space="preserve"> excess</w:t>
      </w:r>
      <w:r w:rsidR="00515FCC" w:rsidRPr="00810E4F">
        <w:rPr>
          <w:rFonts w:asciiTheme="minorHAnsi" w:hAnsiTheme="minorHAnsi"/>
          <w:i/>
          <w:sz w:val="24"/>
          <w:szCs w:val="24"/>
          <w:lang w:val="en"/>
        </w:rPr>
        <w:t xml:space="preserve"> adipocytes and fibrosis, increased apoptosis, defective cardiac contractility and ventric</w:t>
      </w:r>
      <w:r w:rsidR="00654243">
        <w:rPr>
          <w:rFonts w:asciiTheme="minorHAnsi" w:hAnsiTheme="minorHAnsi"/>
          <w:i/>
          <w:sz w:val="24"/>
          <w:szCs w:val="24"/>
          <w:lang w:val="en"/>
        </w:rPr>
        <w:t>ular arrhythmias, which mirror</w:t>
      </w:r>
      <w:r w:rsidR="00515FCC" w:rsidRPr="00810E4F">
        <w:rPr>
          <w:rFonts w:asciiTheme="minorHAnsi" w:hAnsiTheme="minorHAnsi"/>
          <w:i/>
          <w:sz w:val="24"/>
          <w:szCs w:val="24"/>
          <w:lang w:val="en"/>
        </w:rPr>
        <w:t xml:space="preserve"> human ARVC/D. </w:t>
      </w:r>
      <w:r w:rsidR="00515FCC" w:rsidRPr="00810E4F">
        <w:rPr>
          <w:rFonts w:asciiTheme="minorHAnsi" w:hAnsiTheme="minorHAnsi"/>
          <w:i/>
          <w:sz w:val="24"/>
          <w:szCs w:val="24"/>
        </w:rPr>
        <w:t xml:space="preserve"> </w:t>
      </w:r>
      <w:r w:rsidR="002368B5" w:rsidRPr="00810E4F">
        <w:rPr>
          <w:rFonts w:asciiTheme="minorHAnsi" w:hAnsiTheme="minorHAnsi"/>
          <w:i/>
          <w:sz w:val="24"/>
          <w:szCs w:val="24"/>
        </w:rPr>
        <w:t>I considered</w:t>
      </w:r>
      <w:r w:rsidR="00515FCC" w:rsidRPr="00810E4F">
        <w:rPr>
          <w:rFonts w:asciiTheme="minorHAnsi" w:hAnsiTheme="minorHAnsi"/>
          <w:i/>
          <w:sz w:val="24"/>
          <w:szCs w:val="24"/>
        </w:rPr>
        <w:t xml:space="preserve"> using other mouse model</w:t>
      </w:r>
      <w:r w:rsidR="002F204B">
        <w:rPr>
          <w:rFonts w:asciiTheme="minorHAnsi" w:hAnsiTheme="minorHAnsi"/>
          <w:i/>
          <w:sz w:val="24"/>
          <w:szCs w:val="24"/>
        </w:rPr>
        <w:t>s</w:t>
      </w:r>
      <w:r w:rsidR="00515FCC" w:rsidRPr="00810E4F">
        <w:rPr>
          <w:rFonts w:asciiTheme="minorHAnsi" w:hAnsiTheme="minorHAnsi"/>
          <w:i/>
          <w:sz w:val="24"/>
          <w:szCs w:val="24"/>
        </w:rPr>
        <w:t xml:space="preserve"> such as</w:t>
      </w:r>
      <w:r w:rsidR="0016501B">
        <w:rPr>
          <w:rFonts w:asciiTheme="minorHAnsi" w:hAnsiTheme="minorHAnsi"/>
          <w:i/>
          <w:sz w:val="24"/>
          <w:szCs w:val="24"/>
        </w:rPr>
        <w:t xml:space="preserve"> the</w:t>
      </w:r>
      <w:r w:rsidR="00515FCC" w:rsidRPr="00810E4F">
        <w:rPr>
          <w:rFonts w:asciiTheme="minorHAnsi" w:hAnsiTheme="minorHAnsi"/>
          <w:i/>
          <w:sz w:val="24"/>
          <w:szCs w:val="24"/>
        </w:rPr>
        <w:t xml:space="preserve"> Jup</w:t>
      </w:r>
      <w:r w:rsidR="00515FCC" w:rsidRPr="00810E4F">
        <w:rPr>
          <w:rFonts w:asciiTheme="minorHAnsi" w:hAnsiTheme="minorHAnsi"/>
          <w:i/>
          <w:sz w:val="24"/>
          <w:szCs w:val="24"/>
          <w:vertAlign w:val="superscript"/>
        </w:rPr>
        <w:t>+/</w:t>
      </w:r>
      <w:r w:rsidR="00B737AC" w:rsidRPr="00810E4F">
        <w:rPr>
          <w:rFonts w:asciiTheme="minorHAnsi" w:hAnsiTheme="minorHAnsi"/>
          <w:i/>
          <w:sz w:val="24"/>
          <w:szCs w:val="24"/>
          <w:vertAlign w:val="superscript"/>
        </w:rPr>
        <w:t xml:space="preserve">- </w:t>
      </w:r>
      <w:r w:rsidR="00B737AC" w:rsidRPr="00810E4F">
        <w:rPr>
          <w:rFonts w:asciiTheme="minorHAnsi" w:hAnsiTheme="minorHAnsi"/>
          <w:i/>
          <w:sz w:val="24"/>
          <w:szCs w:val="24"/>
        </w:rPr>
        <w:t>mice</w:t>
      </w:r>
      <w:r w:rsidR="00515FCC" w:rsidRPr="00810E4F">
        <w:rPr>
          <w:rFonts w:asciiTheme="minorHAnsi" w:hAnsiTheme="minorHAnsi"/>
          <w:i/>
          <w:sz w:val="24"/>
          <w:szCs w:val="24"/>
        </w:rPr>
        <w:t xml:space="preserve"> but the literature indicates that these mice only partially mimic the clinical ARVC/D phenotype. The mouse and zebrafish morpholino studies have limitations because they </w:t>
      </w:r>
      <w:r w:rsidR="00893131" w:rsidRPr="00810E4F">
        <w:rPr>
          <w:rFonts w:asciiTheme="minorHAnsi" w:hAnsiTheme="minorHAnsi"/>
          <w:i/>
          <w:sz w:val="24"/>
          <w:szCs w:val="24"/>
        </w:rPr>
        <w:t>are usually restricted</w:t>
      </w:r>
      <w:r w:rsidR="0064543B" w:rsidRPr="00810E4F">
        <w:rPr>
          <w:rFonts w:asciiTheme="minorHAnsi" w:hAnsiTheme="minorHAnsi"/>
          <w:i/>
          <w:sz w:val="24"/>
          <w:szCs w:val="24"/>
        </w:rPr>
        <w:t xml:space="preserve"> to the</w:t>
      </w:r>
      <w:r w:rsidR="00893131" w:rsidRPr="00810E4F">
        <w:rPr>
          <w:rFonts w:asciiTheme="minorHAnsi" w:hAnsiTheme="minorHAnsi"/>
          <w:i/>
          <w:sz w:val="24"/>
          <w:szCs w:val="24"/>
        </w:rPr>
        <w:t xml:space="preserve"> embryonic stage and </w:t>
      </w:r>
      <w:r w:rsidR="002F204B">
        <w:rPr>
          <w:rFonts w:asciiTheme="minorHAnsi" w:hAnsiTheme="minorHAnsi"/>
          <w:i/>
          <w:sz w:val="24"/>
          <w:szCs w:val="24"/>
        </w:rPr>
        <w:t>knockdown models</w:t>
      </w:r>
      <w:r w:rsidR="0064543B" w:rsidRPr="00810E4F">
        <w:rPr>
          <w:rFonts w:asciiTheme="minorHAnsi" w:hAnsiTheme="minorHAnsi"/>
          <w:i/>
          <w:sz w:val="24"/>
          <w:szCs w:val="24"/>
        </w:rPr>
        <w:t xml:space="preserve"> may</w:t>
      </w:r>
      <w:r w:rsidR="00893131" w:rsidRPr="00810E4F">
        <w:rPr>
          <w:rFonts w:asciiTheme="minorHAnsi" w:hAnsiTheme="minorHAnsi"/>
          <w:i/>
          <w:sz w:val="24"/>
          <w:szCs w:val="24"/>
        </w:rPr>
        <w:t xml:space="preserve"> be less representative of the pathophysiology of the human disease.  Zebrafish and fruit fly hearts are very different from the human heart, which makes these models less desirable.  The spontaneous canine boxer model of </w:t>
      </w:r>
      <w:r w:rsidR="002F204B">
        <w:rPr>
          <w:rFonts w:asciiTheme="minorHAnsi" w:hAnsiTheme="minorHAnsi"/>
          <w:i/>
          <w:sz w:val="24"/>
          <w:szCs w:val="24"/>
        </w:rPr>
        <w:t>ARVC/D features</w:t>
      </w:r>
      <w:r w:rsidR="00893131" w:rsidRPr="00810E4F">
        <w:rPr>
          <w:rFonts w:asciiTheme="minorHAnsi" w:hAnsiTheme="minorHAnsi"/>
          <w:i/>
          <w:sz w:val="24"/>
          <w:szCs w:val="24"/>
        </w:rPr>
        <w:t xml:space="preserve"> exercise-induced ventricular tachycardia</w:t>
      </w:r>
      <w:r w:rsidR="00654243">
        <w:rPr>
          <w:rFonts w:asciiTheme="minorHAnsi" w:hAnsiTheme="minorHAnsi"/>
          <w:i/>
          <w:sz w:val="24"/>
          <w:szCs w:val="24"/>
        </w:rPr>
        <w:t>,</w:t>
      </w:r>
      <w:r w:rsidR="00893131" w:rsidRPr="00810E4F">
        <w:rPr>
          <w:rFonts w:asciiTheme="minorHAnsi" w:hAnsiTheme="minorHAnsi"/>
          <w:i/>
          <w:sz w:val="24"/>
          <w:szCs w:val="24"/>
        </w:rPr>
        <w:t xml:space="preserve"> which may be associated with a mutation in the ryanodine receptor type 2 gene (RYR2) as a cause of ARVC/D; however, dogs are a more sentient animal and it would be difficult to obtain a sufficient number of these canines. </w:t>
      </w:r>
      <w:r w:rsidR="0016501B">
        <w:rPr>
          <w:rFonts w:asciiTheme="minorHAnsi" w:hAnsiTheme="minorHAnsi"/>
          <w:i/>
          <w:sz w:val="24"/>
          <w:szCs w:val="24"/>
        </w:rPr>
        <w:t xml:space="preserve"> The transgenic rabbit model is a</w:t>
      </w:r>
      <w:r w:rsidR="00893131" w:rsidRPr="00810E4F">
        <w:rPr>
          <w:rFonts w:asciiTheme="minorHAnsi" w:hAnsiTheme="minorHAnsi"/>
          <w:i/>
          <w:sz w:val="24"/>
          <w:szCs w:val="24"/>
        </w:rPr>
        <w:t xml:space="preserve"> </w:t>
      </w:r>
      <w:r w:rsidR="00FA74CA" w:rsidRPr="00810E4F">
        <w:rPr>
          <w:rFonts w:asciiTheme="minorHAnsi" w:hAnsiTheme="minorHAnsi"/>
          <w:i/>
          <w:sz w:val="24"/>
          <w:szCs w:val="24"/>
        </w:rPr>
        <w:t>mutation</w:t>
      </w:r>
      <w:r w:rsidR="0016501B">
        <w:rPr>
          <w:rFonts w:asciiTheme="minorHAnsi" w:hAnsiTheme="minorHAnsi"/>
          <w:i/>
          <w:sz w:val="24"/>
          <w:szCs w:val="24"/>
        </w:rPr>
        <w:t xml:space="preserve"> of</w:t>
      </w:r>
      <w:r w:rsidR="00FA74CA" w:rsidRPr="00810E4F">
        <w:rPr>
          <w:rFonts w:asciiTheme="minorHAnsi" w:hAnsiTheme="minorHAnsi"/>
          <w:i/>
          <w:sz w:val="24"/>
          <w:szCs w:val="24"/>
        </w:rPr>
        <w:t xml:space="preserve"> R403Q in </w:t>
      </w:r>
      <w:r w:rsidR="002F204B">
        <w:rPr>
          <w:rFonts w:asciiTheme="minorHAnsi" w:hAnsiTheme="minorHAnsi"/>
          <w:i/>
          <w:sz w:val="24"/>
          <w:szCs w:val="24"/>
        </w:rPr>
        <w:t xml:space="preserve">the </w:t>
      </w:r>
      <w:r w:rsidR="00FA74CA" w:rsidRPr="00810E4F">
        <w:rPr>
          <w:rFonts w:asciiTheme="minorHAnsi" w:hAnsiTheme="minorHAnsi"/>
          <w:i/>
          <w:sz w:val="24"/>
          <w:szCs w:val="24"/>
        </w:rPr>
        <w:t>β-myosin heavy chain</w:t>
      </w:r>
      <w:r w:rsidR="0016501B">
        <w:rPr>
          <w:rFonts w:asciiTheme="minorHAnsi" w:hAnsiTheme="minorHAnsi"/>
          <w:i/>
          <w:sz w:val="24"/>
          <w:szCs w:val="24"/>
        </w:rPr>
        <w:t xml:space="preserve"> and</w:t>
      </w:r>
      <w:r w:rsidR="00FA74CA" w:rsidRPr="00810E4F">
        <w:rPr>
          <w:rFonts w:asciiTheme="minorHAnsi" w:hAnsiTheme="minorHAnsi"/>
          <w:i/>
          <w:sz w:val="24"/>
          <w:szCs w:val="24"/>
        </w:rPr>
        <w:t xml:space="preserve"> was ruled out for reasons similar to those listed for the canine model.   In light of the above, I have chosen the</w:t>
      </w:r>
      <w:r w:rsidR="00FA74CA" w:rsidRPr="00810E4F">
        <w:rPr>
          <w:rFonts w:asciiTheme="minorHAnsi" w:hAnsiTheme="minorHAnsi"/>
          <w:i/>
          <w:sz w:val="24"/>
          <w:szCs w:val="24"/>
          <w:lang w:val="en"/>
        </w:rPr>
        <w:t xml:space="preserve"> heterozygous </w:t>
      </w:r>
      <w:r w:rsidR="00FA74CA" w:rsidRPr="00810E4F">
        <w:rPr>
          <w:rStyle w:val="Emphasis"/>
          <w:rFonts w:asciiTheme="minorHAnsi" w:hAnsiTheme="minorHAnsi"/>
          <w:i w:val="0"/>
          <w:sz w:val="24"/>
          <w:szCs w:val="24"/>
          <w:lang w:val="en"/>
        </w:rPr>
        <w:t>Dsp</w:t>
      </w:r>
      <w:r w:rsidR="00654243">
        <w:rPr>
          <w:rFonts w:asciiTheme="minorHAnsi" w:hAnsiTheme="minorHAnsi"/>
          <w:i/>
          <w:sz w:val="24"/>
          <w:szCs w:val="24"/>
          <w:lang w:val="en"/>
        </w:rPr>
        <w:t xml:space="preserve">-deficient mouse model </w:t>
      </w:r>
      <w:r w:rsidR="00FA74CA" w:rsidRPr="00810E4F">
        <w:rPr>
          <w:rFonts w:asciiTheme="minorHAnsi" w:hAnsiTheme="minorHAnsi"/>
          <w:i/>
          <w:sz w:val="24"/>
          <w:szCs w:val="24"/>
          <w:lang w:val="en"/>
        </w:rPr>
        <w:t>because these mice closely model human ARVC/D</w:t>
      </w:r>
      <w:r w:rsidR="002368B5" w:rsidRPr="00810E4F">
        <w:rPr>
          <w:rFonts w:asciiTheme="minorHAnsi" w:hAnsiTheme="minorHAnsi"/>
          <w:i/>
          <w:sz w:val="24"/>
          <w:szCs w:val="24"/>
          <w:lang w:val="en"/>
        </w:rPr>
        <w:t>, my</w:t>
      </w:r>
      <w:r w:rsidR="00FA74CA" w:rsidRPr="00810E4F">
        <w:rPr>
          <w:rFonts w:asciiTheme="minorHAnsi" w:hAnsiTheme="minorHAnsi"/>
          <w:i/>
          <w:sz w:val="24"/>
          <w:szCs w:val="24"/>
          <w:lang w:val="en"/>
        </w:rPr>
        <w:t xml:space="preserve"> previous studies were conducted with these mice, mice are a lower sentient animal, and are readily available.</w:t>
      </w:r>
    </w:p>
    <w:p w:rsidR="00810E4F" w:rsidRDefault="00810E4F" w:rsidP="00893131">
      <w:pPr>
        <w:rPr>
          <w:rFonts w:asciiTheme="minorHAnsi" w:hAnsiTheme="minorHAnsi"/>
          <w:sz w:val="24"/>
          <w:szCs w:val="24"/>
        </w:rPr>
      </w:pPr>
    </w:p>
    <w:p w:rsidR="00810E4F" w:rsidRPr="00810E4F" w:rsidRDefault="00C9308B" w:rsidP="00893131">
      <w:pPr>
        <w:rPr>
          <w:rFonts w:asciiTheme="minorHAnsi" w:hAnsiTheme="minorHAnsi"/>
          <w:sz w:val="24"/>
          <w:szCs w:val="24"/>
        </w:rPr>
      </w:pPr>
      <w:r w:rsidRPr="00810E4F">
        <w:rPr>
          <w:rFonts w:asciiTheme="minorHAnsi" w:hAnsiTheme="minorHAnsi"/>
          <w:sz w:val="24"/>
          <w:szCs w:val="24"/>
        </w:rPr>
        <w:t xml:space="preserve">When animal rights groups request protocols through the Freedom of Information Act (FIOA), a prime target is the justification for the use of animals (i.e. ACORP items D and W).  When investigators provide </w:t>
      </w:r>
      <w:r w:rsidR="00607DAD" w:rsidRPr="00810E4F">
        <w:rPr>
          <w:rFonts w:asciiTheme="minorHAnsi" w:hAnsiTheme="minorHAnsi"/>
          <w:sz w:val="24"/>
          <w:szCs w:val="24"/>
        </w:rPr>
        <w:t xml:space="preserve">a </w:t>
      </w:r>
      <w:r w:rsidR="00B81C36" w:rsidRPr="00810E4F">
        <w:rPr>
          <w:rFonts w:asciiTheme="minorHAnsi" w:hAnsiTheme="minorHAnsi"/>
          <w:sz w:val="24"/>
          <w:szCs w:val="24"/>
        </w:rPr>
        <w:t>clear rational</w:t>
      </w:r>
      <w:r w:rsidRPr="00810E4F">
        <w:rPr>
          <w:rFonts w:asciiTheme="minorHAnsi" w:hAnsiTheme="minorHAnsi"/>
          <w:sz w:val="24"/>
          <w:szCs w:val="24"/>
        </w:rPr>
        <w:t xml:space="preserve">e for why the use of animals is </w:t>
      </w:r>
      <w:r w:rsidR="00B81C36" w:rsidRPr="00810E4F">
        <w:rPr>
          <w:rFonts w:asciiTheme="minorHAnsi" w:hAnsiTheme="minorHAnsi"/>
          <w:sz w:val="24"/>
          <w:szCs w:val="24"/>
        </w:rPr>
        <w:t xml:space="preserve">necessary and why </w:t>
      </w:r>
      <w:r w:rsidRPr="00810E4F">
        <w:rPr>
          <w:rFonts w:asciiTheme="minorHAnsi" w:hAnsiTheme="minorHAnsi"/>
          <w:sz w:val="24"/>
          <w:szCs w:val="24"/>
        </w:rPr>
        <w:t xml:space="preserve">a particular animal model was chosen, </w:t>
      </w:r>
      <w:r w:rsidR="00607DAD" w:rsidRPr="00810E4F">
        <w:rPr>
          <w:rFonts w:asciiTheme="minorHAnsi" w:hAnsiTheme="minorHAnsi"/>
          <w:sz w:val="24"/>
          <w:szCs w:val="24"/>
        </w:rPr>
        <w:t>they earn</w:t>
      </w:r>
      <w:r w:rsidRPr="00810E4F">
        <w:rPr>
          <w:rFonts w:asciiTheme="minorHAnsi" w:hAnsiTheme="minorHAnsi"/>
          <w:sz w:val="24"/>
          <w:szCs w:val="24"/>
        </w:rPr>
        <w:t xml:space="preserve"> the public’s trust and make their </w:t>
      </w:r>
      <w:r w:rsidR="00607DAD" w:rsidRPr="00810E4F">
        <w:rPr>
          <w:rFonts w:asciiTheme="minorHAnsi" w:hAnsiTheme="minorHAnsi"/>
          <w:sz w:val="24"/>
          <w:szCs w:val="24"/>
        </w:rPr>
        <w:t>research less</w:t>
      </w:r>
      <w:r w:rsidR="00810E4F">
        <w:rPr>
          <w:rFonts w:asciiTheme="minorHAnsi" w:hAnsiTheme="minorHAnsi"/>
          <w:sz w:val="24"/>
          <w:szCs w:val="24"/>
        </w:rPr>
        <w:t xml:space="preserve"> vulnerable to criticism.</w:t>
      </w:r>
    </w:p>
    <w:p w:rsidR="005D6A46" w:rsidRPr="00810E4F" w:rsidRDefault="005D6A46" w:rsidP="00893131">
      <w:pPr>
        <w:rPr>
          <w:rFonts w:asciiTheme="minorHAnsi" w:hAnsiTheme="minorHAnsi"/>
          <w:b/>
          <w:sz w:val="24"/>
          <w:szCs w:val="24"/>
        </w:rPr>
      </w:pPr>
      <w:r w:rsidRPr="00810E4F">
        <w:rPr>
          <w:rFonts w:asciiTheme="minorHAnsi" w:hAnsiTheme="minorHAnsi"/>
          <w:b/>
          <w:sz w:val="24"/>
          <w:szCs w:val="24"/>
        </w:rPr>
        <w:lastRenderedPageBreak/>
        <w:t>Sources:</w:t>
      </w:r>
    </w:p>
    <w:p w:rsidR="00FA74CA" w:rsidRPr="00810E4F" w:rsidRDefault="00FA74CA" w:rsidP="00893131">
      <w:pPr>
        <w:rPr>
          <w:rStyle w:val="mixed-citation"/>
          <w:rFonts w:asciiTheme="minorHAnsi" w:hAnsiTheme="minorHAnsi"/>
          <w:sz w:val="24"/>
          <w:szCs w:val="24"/>
          <w:lang w:val="en"/>
        </w:rPr>
      </w:pPr>
      <w:r w:rsidRPr="00810E4F">
        <w:rPr>
          <w:rStyle w:val="mixed-citation"/>
          <w:rFonts w:asciiTheme="minorHAnsi" w:hAnsiTheme="minorHAnsi"/>
          <w:sz w:val="24"/>
          <w:szCs w:val="24"/>
          <w:lang w:val="en"/>
        </w:rPr>
        <w:t xml:space="preserve">Basso C, Fox PR, Meurs KM, Towbin JA, Spier AW, Calabrese F, Maron BJ, Thiene G. (2004). </w:t>
      </w:r>
      <w:r w:rsidRPr="00810E4F">
        <w:rPr>
          <w:rStyle w:val="ref-title"/>
          <w:rFonts w:asciiTheme="minorHAnsi" w:hAnsiTheme="minorHAnsi"/>
          <w:sz w:val="24"/>
          <w:szCs w:val="24"/>
          <w:lang w:val="en"/>
        </w:rPr>
        <w:t>Arrhythmogenic right ventricular cardiomyopathy causing sudden cardiac death in boxer dogs: a new animal model of human disease</w:t>
      </w:r>
      <w:r w:rsidRPr="00810E4F">
        <w:rPr>
          <w:rStyle w:val="mixed-citation"/>
          <w:rFonts w:asciiTheme="minorHAnsi" w:hAnsiTheme="minorHAnsi"/>
          <w:sz w:val="24"/>
          <w:szCs w:val="24"/>
          <w:lang w:val="en"/>
        </w:rPr>
        <w:t xml:space="preserve">. </w:t>
      </w:r>
      <w:r w:rsidRPr="00810E4F">
        <w:rPr>
          <w:rStyle w:val="ref-journal"/>
          <w:rFonts w:asciiTheme="minorHAnsi" w:hAnsiTheme="minorHAnsi"/>
          <w:sz w:val="24"/>
          <w:szCs w:val="24"/>
          <w:lang w:val="en"/>
        </w:rPr>
        <w:t>Circulation</w:t>
      </w:r>
      <w:r w:rsidRPr="00810E4F">
        <w:rPr>
          <w:rStyle w:val="mixed-citation"/>
          <w:rFonts w:asciiTheme="minorHAnsi" w:hAnsiTheme="minorHAnsi"/>
          <w:sz w:val="24"/>
          <w:szCs w:val="24"/>
          <w:lang w:val="en"/>
        </w:rPr>
        <w:t xml:space="preserve"> </w:t>
      </w:r>
      <w:r w:rsidRPr="00810E4F">
        <w:rPr>
          <w:rStyle w:val="ref-vol"/>
          <w:rFonts w:asciiTheme="minorHAnsi" w:hAnsiTheme="minorHAnsi"/>
          <w:sz w:val="24"/>
          <w:szCs w:val="24"/>
          <w:lang w:val="en"/>
        </w:rPr>
        <w:t>109</w:t>
      </w:r>
      <w:r w:rsidRPr="00810E4F">
        <w:rPr>
          <w:rStyle w:val="mixed-citation"/>
          <w:rFonts w:asciiTheme="minorHAnsi" w:hAnsiTheme="minorHAnsi"/>
          <w:sz w:val="24"/>
          <w:szCs w:val="24"/>
          <w:lang w:val="en"/>
        </w:rPr>
        <w:t>, 1180–1185.</w:t>
      </w:r>
    </w:p>
    <w:p w:rsidR="00810E4F" w:rsidRPr="00810E4F" w:rsidRDefault="00810E4F" w:rsidP="00893131">
      <w:pPr>
        <w:rPr>
          <w:rStyle w:val="mixed-citation"/>
          <w:rFonts w:asciiTheme="minorHAnsi" w:hAnsiTheme="minorHAnsi"/>
          <w:sz w:val="24"/>
          <w:szCs w:val="24"/>
          <w:lang w:val="en"/>
        </w:rPr>
      </w:pPr>
      <w:r w:rsidRPr="00810E4F">
        <w:rPr>
          <w:rFonts w:asciiTheme="minorHAnsi" w:hAnsiTheme="minorHAnsi" w:cs="Helvetica"/>
          <w:color w:val="333333"/>
          <w:sz w:val="24"/>
          <w:szCs w:val="24"/>
          <w:lang w:val="en"/>
        </w:rPr>
        <w:t>Children's National Health System. "High-throughput, in vivo validation of candidate congenital heart disease genes: Work in Drosophila model points to personalized therapies for the most common birth defect among newborns."  Science Daily, 9 February 2017. &lt;www.sciencedaily.com/releases/2017/02/170209163824.htm&gt;.</w:t>
      </w:r>
    </w:p>
    <w:p w:rsidR="00FA74CA" w:rsidRPr="00810E4F" w:rsidRDefault="00FA74CA" w:rsidP="00893131">
      <w:pPr>
        <w:rPr>
          <w:rFonts w:asciiTheme="minorHAnsi" w:hAnsiTheme="minorHAnsi"/>
          <w:sz w:val="24"/>
          <w:szCs w:val="24"/>
        </w:rPr>
      </w:pPr>
      <w:r w:rsidRPr="00810E4F">
        <w:rPr>
          <w:rStyle w:val="mixed-citation"/>
          <w:rFonts w:asciiTheme="minorHAnsi" w:hAnsiTheme="minorHAnsi"/>
          <w:sz w:val="24"/>
          <w:szCs w:val="24"/>
          <w:lang w:val="en"/>
        </w:rPr>
        <w:t xml:space="preserve">Garcia-Gras E, Lombardi R, Giocondo MJ, Willerson JT, Schneider MD, Khoury DS, Marian AJ. (2006). </w:t>
      </w:r>
      <w:r w:rsidRPr="00810E4F">
        <w:rPr>
          <w:rStyle w:val="ref-title"/>
          <w:rFonts w:asciiTheme="minorHAnsi" w:hAnsiTheme="minorHAnsi"/>
          <w:sz w:val="24"/>
          <w:szCs w:val="24"/>
          <w:lang w:val="en"/>
        </w:rPr>
        <w:t>Suppression of canonical Wnt/beta-catenin signaling by nuclear plakoglobin recapitulates phenotype of arrhythmogenic right ventricular cardiomyopathy</w:t>
      </w:r>
      <w:r w:rsidRPr="00810E4F">
        <w:rPr>
          <w:rStyle w:val="mixed-citation"/>
          <w:rFonts w:asciiTheme="minorHAnsi" w:hAnsiTheme="minorHAnsi"/>
          <w:sz w:val="24"/>
          <w:szCs w:val="24"/>
          <w:lang w:val="en"/>
        </w:rPr>
        <w:t xml:space="preserve">. </w:t>
      </w:r>
      <w:r w:rsidRPr="00810E4F">
        <w:rPr>
          <w:rStyle w:val="ref-journal"/>
          <w:rFonts w:asciiTheme="minorHAnsi" w:hAnsiTheme="minorHAnsi"/>
          <w:sz w:val="24"/>
          <w:szCs w:val="24"/>
          <w:lang w:val="en"/>
        </w:rPr>
        <w:t>J Clin Invest</w:t>
      </w:r>
      <w:r w:rsidRPr="00810E4F">
        <w:rPr>
          <w:rStyle w:val="mixed-citation"/>
          <w:rFonts w:asciiTheme="minorHAnsi" w:hAnsiTheme="minorHAnsi"/>
          <w:sz w:val="24"/>
          <w:szCs w:val="24"/>
          <w:lang w:val="en"/>
        </w:rPr>
        <w:t xml:space="preserve">. </w:t>
      </w:r>
      <w:r w:rsidRPr="00810E4F">
        <w:rPr>
          <w:rStyle w:val="ref-vol"/>
          <w:rFonts w:asciiTheme="minorHAnsi" w:hAnsiTheme="minorHAnsi"/>
          <w:sz w:val="24"/>
          <w:szCs w:val="24"/>
          <w:lang w:val="en"/>
        </w:rPr>
        <w:t>116</w:t>
      </w:r>
      <w:r w:rsidRPr="00810E4F">
        <w:rPr>
          <w:rStyle w:val="mixed-citation"/>
          <w:rFonts w:asciiTheme="minorHAnsi" w:hAnsiTheme="minorHAnsi"/>
          <w:sz w:val="24"/>
          <w:szCs w:val="24"/>
          <w:lang w:val="en"/>
        </w:rPr>
        <w:t>, 2012–2021</w:t>
      </w:r>
    </w:p>
    <w:p w:rsidR="00FA74CA" w:rsidRPr="00810E4F" w:rsidRDefault="00FA74CA" w:rsidP="00893131">
      <w:pPr>
        <w:rPr>
          <w:rStyle w:val="mixed-citation"/>
          <w:rFonts w:asciiTheme="minorHAnsi" w:hAnsiTheme="minorHAnsi"/>
          <w:sz w:val="24"/>
          <w:szCs w:val="24"/>
          <w:lang w:val="en"/>
        </w:rPr>
      </w:pPr>
      <w:r w:rsidRPr="00810E4F">
        <w:rPr>
          <w:rStyle w:val="mixed-citation"/>
          <w:rFonts w:asciiTheme="minorHAnsi" w:hAnsiTheme="minorHAnsi"/>
          <w:sz w:val="24"/>
          <w:szCs w:val="24"/>
          <w:lang w:val="en"/>
        </w:rPr>
        <w:t xml:space="preserve">Martin ED, Moriarty MA, Byrnes L, Grealy M. (2009). </w:t>
      </w:r>
      <w:r w:rsidRPr="00810E4F">
        <w:rPr>
          <w:rStyle w:val="ref-title"/>
          <w:rFonts w:asciiTheme="minorHAnsi" w:hAnsiTheme="minorHAnsi"/>
          <w:sz w:val="24"/>
          <w:szCs w:val="24"/>
          <w:lang w:val="en"/>
        </w:rPr>
        <w:t>Plakoglobin has both structural and signalling roles in zebrafish development</w:t>
      </w:r>
      <w:r w:rsidRPr="00810E4F">
        <w:rPr>
          <w:rStyle w:val="mixed-citation"/>
          <w:rFonts w:asciiTheme="minorHAnsi" w:hAnsiTheme="minorHAnsi"/>
          <w:sz w:val="24"/>
          <w:szCs w:val="24"/>
          <w:lang w:val="en"/>
        </w:rPr>
        <w:t xml:space="preserve">. </w:t>
      </w:r>
      <w:r w:rsidRPr="00810E4F">
        <w:rPr>
          <w:rStyle w:val="ref-journal"/>
          <w:rFonts w:asciiTheme="minorHAnsi" w:hAnsiTheme="minorHAnsi"/>
          <w:sz w:val="24"/>
          <w:szCs w:val="24"/>
          <w:lang w:val="en"/>
        </w:rPr>
        <w:t>Dev Biol</w:t>
      </w:r>
      <w:r w:rsidRPr="00810E4F">
        <w:rPr>
          <w:rStyle w:val="mixed-citation"/>
          <w:rFonts w:asciiTheme="minorHAnsi" w:hAnsiTheme="minorHAnsi"/>
          <w:sz w:val="24"/>
          <w:szCs w:val="24"/>
          <w:lang w:val="en"/>
        </w:rPr>
        <w:t xml:space="preserve">. </w:t>
      </w:r>
      <w:r w:rsidRPr="00810E4F">
        <w:rPr>
          <w:rStyle w:val="ref-vol"/>
          <w:rFonts w:asciiTheme="minorHAnsi" w:hAnsiTheme="minorHAnsi"/>
          <w:sz w:val="24"/>
          <w:szCs w:val="24"/>
          <w:lang w:val="en"/>
        </w:rPr>
        <w:t>327</w:t>
      </w:r>
      <w:r w:rsidRPr="00810E4F">
        <w:rPr>
          <w:rStyle w:val="mixed-citation"/>
          <w:rFonts w:asciiTheme="minorHAnsi" w:hAnsiTheme="minorHAnsi"/>
          <w:sz w:val="24"/>
          <w:szCs w:val="24"/>
          <w:lang w:val="en"/>
        </w:rPr>
        <w:t>, 83–96</w:t>
      </w:r>
      <w:r w:rsidR="00810E4F" w:rsidRPr="00810E4F">
        <w:rPr>
          <w:rStyle w:val="mixed-citation"/>
          <w:rFonts w:asciiTheme="minorHAnsi" w:hAnsiTheme="minorHAnsi"/>
          <w:sz w:val="24"/>
          <w:szCs w:val="24"/>
          <w:lang w:val="en"/>
        </w:rPr>
        <w:t>.</w:t>
      </w:r>
    </w:p>
    <w:p w:rsidR="00810E4F" w:rsidRPr="00810E4F" w:rsidRDefault="00810E4F" w:rsidP="00893131">
      <w:pPr>
        <w:rPr>
          <w:rFonts w:asciiTheme="minorHAnsi" w:hAnsiTheme="minorHAnsi"/>
          <w:sz w:val="24"/>
          <w:szCs w:val="24"/>
          <w:lang w:val="en"/>
        </w:rPr>
      </w:pPr>
      <w:r w:rsidRPr="00810E4F">
        <w:rPr>
          <w:rStyle w:val="mixed-citation"/>
          <w:rFonts w:asciiTheme="minorHAnsi" w:hAnsiTheme="minorHAnsi"/>
          <w:sz w:val="24"/>
          <w:szCs w:val="24"/>
          <w:lang w:val="en"/>
        </w:rPr>
        <w:t>McCauley MD, Wehrens XHT, (2009) Animal models of cardiomyopathy. Dis Model Mech. 2(11-12), 563-570.</w:t>
      </w:r>
    </w:p>
    <w:p w:rsidR="00F42850" w:rsidRPr="00C9308B" w:rsidRDefault="00FA74CA">
      <w:pPr>
        <w:rPr>
          <w:rStyle w:val="mixed-citation"/>
          <w:rFonts w:asciiTheme="minorHAnsi" w:hAnsiTheme="minorHAnsi"/>
          <w:lang w:val="en"/>
        </w:rPr>
      </w:pPr>
      <w:r w:rsidRPr="00810E4F">
        <w:rPr>
          <w:rStyle w:val="mixed-citation"/>
          <w:rFonts w:asciiTheme="minorHAnsi" w:hAnsiTheme="minorHAnsi"/>
          <w:sz w:val="24"/>
          <w:szCs w:val="24"/>
          <w:lang w:val="en"/>
        </w:rPr>
        <w:t xml:space="preserve">Ripplinger CM, Li W, Hadley J, Chen J, Rothenberg F, Lombardi R, Wickline SA, Marian AJ, Efimov IR. (2007). </w:t>
      </w:r>
      <w:r w:rsidRPr="00810E4F">
        <w:rPr>
          <w:rStyle w:val="ref-title"/>
          <w:rFonts w:asciiTheme="minorHAnsi" w:hAnsiTheme="minorHAnsi"/>
          <w:sz w:val="24"/>
          <w:szCs w:val="24"/>
          <w:lang w:val="en"/>
        </w:rPr>
        <w:t>Enhanced transmural fiber rotation and connexin 43 heterogeneity are associated with an increased upper limit of vulnerability in a transgenic rabbit model of human hypertrophic cardiomyopathy</w:t>
      </w:r>
      <w:r w:rsidRPr="00810E4F">
        <w:rPr>
          <w:rStyle w:val="mixed-citation"/>
          <w:rFonts w:asciiTheme="minorHAnsi" w:hAnsiTheme="minorHAnsi"/>
          <w:sz w:val="24"/>
          <w:szCs w:val="24"/>
          <w:lang w:val="en"/>
        </w:rPr>
        <w:t xml:space="preserve">. </w:t>
      </w:r>
      <w:r w:rsidRPr="00810E4F">
        <w:rPr>
          <w:rStyle w:val="ref-journal"/>
          <w:rFonts w:asciiTheme="minorHAnsi" w:hAnsiTheme="minorHAnsi"/>
          <w:sz w:val="24"/>
          <w:szCs w:val="24"/>
          <w:lang w:val="en"/>
        </w:rPr>
        <w:t>Circ Res</w:t>
      </w:r>
      <w:r w:rsidRPr="00810E4F">
        <w:rPr>
          <w:rStyle w:val="mixed-citation"/>
          <w:rFonts w:asciiTheme="minorHAnsi" w:hAnsiTheme="minorHAnsi"/>
          <w:sz w:val="24"/>
          <w:szCs w:val="24"/>
          <w:lang w:val="en"/>
        </w:rPr>
        <w:t xml:space="preserve">. </w:t>
      </w:r>
      <w:r w:rsidRPr="00810E4F">
        <w:rPr>
          <w:rStyle w:val="ref-vol"/>
          <w:rFonts w:asciiTheme="minorHAnsi" w:hAnsiTheme="minorHAnsi"/>
          <w:sz w:val="24"/>
          <w:szCs w:val="24"/>
          <w:lang w:val="en"/>
        </w:rPr>
        <w:t>101</w:t>
      </w:r>
      <w:r w:rsidRPr="00810E4F">
        <w:rPr>
          <w:rStyle w:val="mixed-citation"/>
          <w:rFonts w:asciiTheme="minorHAnsi" w:hAnsiTheme="minorHAnsi"/>
          <w:sz w:val="24"/>
          <w:szCs w:val="24"/>
          <w:lang w:val="en"/>
        </w:rPr>
        <w:t>, 1049–1</w:t>
      </w:r>
      <w:r w:rsidRPr="00C9308B">
        <w:rPr>
          <w:rStyle w:val="mixed-citation"/>
          <w:rFonts w:asciiTheme="minorHAnsi" w:hAnsiTheme="minorHAnsi"/>
          <w:lang w:val="en"/>
        </w:rPr>
        <w:t>057</w:t>
      </w:r>
      <w:r w:rsidR="002368B5" w:rsidRPr="00C9308B">
        <w:rPr>
          <w:rStyle w:val="mixed-citation"/>
          <w:rFonts w:asciiTheme="minorHAnsi" w:hAnsiTheme="minorHAnsi"/>
          <w:lang w:val="en"/>
        </w:rPr>
        <w:t>.</w:t>
      </w:r>
    </w:p>
    <w:sectPr w:rsidR="00F42850" w:rsidRPr="00C9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24"/>
    <w:rsid w:val="00137324"/>
    <w:rsid w:val="0016501B"/>
    <w:rsid w:val="002368B5"/>
    <w:rsid w:val="002F204B"/>
    <w:rsid w:val="003C1B78"/>
    <w:rsid w:val="00515FCC"/>
    <w:rsid w:val="00526D6D"/>
    <w:rsid w:val="005B65FF"/>
    <w:rsid w:val="005D6A46"/>
    <w:rsid w:val="00607DAD"/>
    <w:rsid w:val="0064118E"/>
    <w:rsid w:val="0064543B"/>
    <w:rsid w:val="00654243"/>
    <w:rsid w:val="00810E4F"/>
    <w:rsid w:val="00850E1A"/>
    <w:rsid w:val="008765B6"/>
    <w:rsid w:val="00893131"/>
    <w:rsid w:val="009F162E"/>
    <w:rsid w:val="00B47A66"/>
    <w:rsid w:val="00B737AC"/>
    <w:rsid w:val="00B81C36"/>
    <w:rsid w:val="00BA736F"/>
    <w:rsid w:val="00C9308B"/>
    <w:rsid w:val="00D14F0E"/>
    <w:rsid w:val="00E445CB"/>
    <w:rsid w:val="00F42850"/>
    <w:rsid w:val="00F6635C"/>
    <w:rsid w:val="00F843D2"/>
    <w:rsid w:val="00FA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3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445CB"/>
    <w:rPr>
      <w:color w:val="0000FF" w:themeColor="hyperlink"/>
      <w:u w:val="single"/>
    </w:rPr>
  </w:style>
  <w:style w:type="character" w:styleId="Emphasis">
    <w:name w:val="Emphasis"/>
    <w:basedOn w:val="DefaultParagraphFont"/>
    <w:uiPriority w:val="20"/>
    <w:qFormat/>
    <w:rsid w:val="00F42850"/>
    <w:rPr>
      <w:i/>
      <w:iCs/>
    </w:rPr>
  </w:style>
  <w:style w:type="character" w:customStyle="1" w:styleId="mixed-citation">
    <w:name w:val="mixed-citation"/>
    <w:basedOn w:val="DefaultParagraphFont"/>
    <w:rsid w:val="00FA74CA"/>
  </w:style>
  <w:style w:type="character" w:customStyle="1" w:styleId="ref-title">
    <w:name w:val="ref-title"/>
    <w:basedOn w:val="DefaultParagraphFont"/>
    <w:rsid w:val="00FA74CA"/>
  </w:style>
  <w:style w:type="character" w:customStyle="1" w:styleId="ref-journal">
    <w:name w:val="ref-journal"/>
    <w:basedOn w:val="DefaultParagraphFont"/>
    <w:rsid w:val="00FA74CA"/>
  </w:style>
  <w:style w:type="character" w:customStyle="1" w:styleId="ref-vol">
    <w:name w:val="ref-vol"/>
    <w:basedOn w:val="DefaultParagraphFont"/>
    <w:rsid w:val="00FA74CA"/>
  </w:style>
  <w:style w:type="character" w:styleId="FollowedHyperlink">
    <w:name w:val="FollowedHyperlink"/>
    <w:basedOn w:val="DefaultParagraphFont"/>
    <w:uiPriority w:val="99"/>
    <w:semiHidden/>
    <w:unhideWhenUsed/>
    <w:rsid w:val="00607D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3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445CB"/>
    <w:rPr>
      <w:color w:val="0000FF" w:themeColor="hyperlink"/>
      <w:u w:val="single"/>
    </w:rPr>
  </w:style>
  <w:style w:type="character" w:styleId="Emphasis">
    <w:name w:val="Emphasis"/>
    <w:basedOn w:val="DefaultParagraphFont"/>
    <w:uiPriority w:val="20"/>
    <w:qFormat/>
    <w:rsid w:val="00F42850"/>
    <w:rPr>
      <w:i/>
      <w:iCs/>
    </w:rPr>
  </w:style>
  <w:style w:type="character" w:customStyle="1" w:styleId="mixed-citation">
    <w:name w:val="mixed-citation"/>
    <w:basedOn w:val="DefaultParagraphFont"/>
    <w:rsid w:val="00FA74CA"/>
  </w:style>
  <w:style w:type="character" w:customStyle="1" w:styleId="ref-title">
    <w:name w:val="ref-title"/>
    <w:basedOn w:val="DefaultParagraphFont"/>
    <w:rsid w:val="00FA74CA"/>
  </w:style>
  <w:style w:type="character" w:customStyle="1" w:styleId="ref-journal">
    <w:name w:val="ref-journal"/>
    <w:basedOn w:val="DefaultParagraphFont"/>
    <w:rsid w:val="00FA74CA"/>
  </w:style>
  <w:style w:type="character" w:customStyle="1" w:styleId="ref-vol">
    <w:name w:val="ref-vol"/>
    <w:basedOn w:val="DefaultParagraphFont"/>
    <w:rsid w:val="00FA74CA"/>
  </w:style>
  <w:style w:type="character" w:styleId="FollowedHyperlink">
    <w:name w:val="FollowedHyperlink"/>
    <w:basedOn w:val="DefaultParagraphFont"/>
    <w:uiPriority w:val="99"/>
    <w:semiHidden/>
    <w:unhideWhenUsed/>
    <w:rsid w:val="00607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IACUC Training Exercise #3 - 2017</vt:lpstr>
    </vt:vector>
  </TitlesOfParts>
  <Company>Veteran Affairs</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#3 - 2017</dc:title>
  <dc:subject>IACUC Training Exercise #3 - 2017</dc:subject>
  <dc:creator>IACUC Training Exercise #3 - 2017</dc:creator>
  <cp:keywords>Animal use justification</cp:keywords>
  <cp:lastModifiedBy>Department of Veterans Affairs</cp:lastModifiedBy>
  <cp:revision>4</cp:revision>
  <dcterms:created xsi:type="dcterms:W3CDTF">2017-10-31T21:26:00Z</dcterms:created>
  <dcterms:modified xsi:type="dcterms:W3CDTF">2017-11-17T20:16:00Z</dcterms:modified>
</cp:coreProperties>
</file>