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51" w:rsidRPr="00B6741F" w:rsidRDefault="00162351" w:rsidP="00162351">
      <w:pPr>
        <w:rPr>
          <w:rFonts w:ascii="Cambria" w:hAnsi="Cambria" w:cs="Arial"/>
          <w:color w:val="1F497D" w:themeColor="text2"/>
          <w:sz w:val="28"/>
          <w:szCs w:val="28"/>
        </w:rPr>
      </w:pPr>
      <w:r w:rsidRPr="00B6741F">
        <w:rPr>
          <w:noProof/>
          <w:color w:val="1F497D" w:themeColor="text2"/>
        </w:rPr>
        <w:drawing>
          <wp:anchor distT="0" distB="0" distL="114300" distR="114300" simplePos="0" relativeHeight="251659264" behindDoc="0" locked="0" layoutInCell="1" allowOverlap="1" wp14:anchorId="3636BB0F" wp14:editId="6CB2FD0C">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41F">
        <w:rPr>
          <w:rFonts w:cs="Arial"/>
          <w:b/>
          <w:color w:val="1F497D" w:themeColor="text2"/>
          <w:sz w:val="28"/>
          <w:szCs w:val="28"/>
        </w:rPr>
        <w:t>IA</w:t>
      </w:r>
      <w:r w:rsidRPr="00B6741F">
        <w:rPr>
          <w:b/>
          <w:color w:val="1F497D" w:themeColor="text2"/>
          <w:sz w:val="28"/>
          <w:szCs w:val="28"/>
        </w:rPr>
        <w:t>CUC Training Exercise #4</w:t>
      </w:r>
      <w:r w:rsidR="00B6741F" w:rsidRPr="00B6741F">
        <w:rPr>
          <w:b/>
          <w:color w:val="1F497D" w:themeColor="text2"/>
          <w:sz w:val="28"/>
          <w:szCs w:val="28"/>
        </w:rPr>
        <w:t xml:space="preserve"> </w:t>
      </w:r>
      <w:r w:rsidRPr="00B6741F">
        <w:rPr>
          <w:b/>
          <w:color w:val="1F497D" w:themeColor="text2"/>
          <w:sz w:val="28"/>
          <w:szCs w:val="28"/>
        </w:rPr>
        <w:t>- 2015</w:t>
      </w:r>
    </w:p>
    <w:p w:rsidR="00162351" w:rsidRPr="00997078" w:rsidRDefault="00162351" w:rsidP="00162351">
      <w:pPr>
        <w:pStyle w:val="NoSpacing"/>
      </w:pPr>
      <w:r w:rsidRPr="00997078">
        <w:rPr>
          <w:color w:val="1F497D" w:themeColor="text2"/>
        </w:rPr>
        <w:t xml:space="preserve">The following exercise may be useful in stimulating discussion regarding compliance with PHS Policy and VA Handbook 1200.07. To facilitate discussion, </w:t>
      </w:r>
      <w:r w:rsidR="00B6741F" w:rsidRPr="00997078">
        <w:rPr>
          <w:color w:val="1F497D" w:themeColor="text2"/>
        </w:rPr>
        <w:t xml:space="preserve">pages 1-3 of the exercise may be distributed to the IACUC members prior to a meeting.  After a few minutes of discussion about the exercise during the meeting, the remainder of the exercise may be distributed to provide ideas for the committee’s consideration.  </w:t>
      </w:r>
    </w:p>
    <w:p w:rsidR="00162351" w:rsidRDefault="00162351" w:rsidP="00162351"/>
    <w:p w:rsidR="00311A03" w:rsidRPr="008F45C3" w:rsidRDefault="00162351" w:rsidP="00311A03">
      <w:pPr>
        <w:rPr>
          <w:color w:val="1F497D" w:themeColor="text2"/>
          <w:sz w:val="24"/>
          <w:szCs w:val="24"/>
        </w:rPr>
      </w:pPr>
      <w:r w:rsidRPr="008F45C3">
        <w:rPr>
          <w:color w:val="1F497D" w:themeColor="text2"/>
          <w:sz w:val="24"/>
          <w:szCs w:val="24"/>
        </w:rPr>
        <w:t>Dr. Jones was a new inves</w:t>
      </w:r>
      <w:r w:rsidR="00E418BA">
        <w:rPr>
          <w:color w:val="1F497D" w:themeColor="text2"/>
          <w:sz w:val="24"/>
          <w:szCs w:val="24"/>
        </w:rPr>
        <w:t>tigator at the Hometown VAMC; he</w:t>
      </w:r>
      <w:r w:rsidRPr="008F45C3">
        <w:rPr>
          <w:color w:val="1F497D" w:themeColor="text2"/>
          <w:sz w:val="24"/>
          <w:szCs w:val="24"/>
        </w:rPr>
        <w:t xml:space="preserve"> decided it would be a good idea to meet with Ann Marie, the Hometown VAMC-IA</w:t>
      </w:r>
      <w:r w:rsidR="00701364">
        <w:rPr>
          <w:color w:val="1F497D" w:themeColor="text2"/>
          <w:sz w:val="24"/>
          <w:szCs w:val="24"/>
        </w:rPr>
        <w:t>CUC Manager, before he submits</w:t>
      </w:r>
      <w:r w:rsidRPr="008F45C3">
        <w:rPr>
          <w:color w:val="1F497D" w:themeColor="text2"/>
          <w:sz w:val="24"/>
          <w:szCs w:val="24"/>
        </w:rPr>
        <w:t xml:space="preserve"> his </w:t>
      </w:r>
      <w:r w:rsidR="008F45C3">
        <w:rPr>
          <w:color w:val="1F497D" w:themeColor="text2"/>
          <w:sz w:val="24"/>
          <w:szCs w:val="24"/>
        </w:rPr>
        <w:t xml:space="preserve">first </w:t>
      </w:r>
      <w:r w:rsidRPr="008F45C3">
        <w:rPr>
          <w:color w:val="1F497D" w:themeColor="text2"/>
          <w:sz w:val="24"/>
          <w:szCs w:val="24"/>
        </w:rPr>
        <w:t xml:space="preserve">ACORP for IACUC review.   He </w:t>
      </w:r>
      <w:r w:rsidR="008F45C3">
        <w:rPr>
          <w:color w:val="1F497D" w:themeColor="text2"/>
          <w:sz w:val="24"/>
          <w:szCs w:val="24"/>
        </w:rPr>
        <w:t>made</w:t>
      </w:r>
      <w:r w:rsidRPr="008F45C3">
        <w:rPr>
          <w:color w:val="1F497D" w:themeColor="text2"/>
          <w:sz w:val="24"/>
          <w:szCs w:val="24"/>
        </w:rPr>
        <w:t xml:space="preserve"> an appointment with Ann Marie for </w:t>
      </w:r>
      <w:r w:rsidR="006D164F" w:rsidRPr="008F45C3">
        <w:rPr>
          <w:color w:val="1F497D" w:themeColor="text2"/>
          <w:sz w:val="24"/>
          <w:szCs w:val="24"/>
        </w:rPr>
        <w:t>1:00 pm on Tuesday</w:t>
      </w:r>
      <w:r w:rsidRPr="008F45C3">
        <w:rPr>
          <w:color w:val="1F497D" w:themeColor="text2"/>
          <w:sz w:val="24"/>
          <w:szCs w:val="24"/>
        </w:rPr>
        <w:t xml:space="preserve"> afternoon and </w:t>
      </w:r>
      <w:r w:rsidR="006D164F" w:rsidRPr="008F45C3">
        <w:rPr>
          <w:color w:val="1F497D" w:themeColor="text2"/>
          <w:sz w:val="24"/>
          <w:szCs w:val="24"/>
        </w:rPr>
        <w:t xml:space="preserve">said he would </w:t>
      </w:r>
      <w:r w:rsidR="008F45C3">
        <w:rPr>
          <w:color w:val="1F497D" w:themeColor="text2"/>
          <w:sz w:val="24"/>
          <w:szCs w:val="24"/>
        </w:rPr>
        <w:t>email his draft</w:t>
      </w:r>
      <w:r w:rsidR="00311A03" w:rsidRPr="008F45C3">
        <w:rPr>
          <w:color w:val="1F497D" w:themeColor="text2"/>
          <w:sz w:val="24"/>
          <w:szCs w:val="24"/>
        </w:rPr>
        <w:t xml:space="preserve"> ACORP for her</w:t>
      </w:r>
      <w:r w:rsidRPr="008F45C3">
        <w:rPr>
          <w:color w:val="1F497D" w:themeColor="text2"/>
          <w:sz w:val="24"/>
          <w:szCs w:val="24"/>
        </w:rPr>
        <w:t xml:space="preserve"> review prior to their meeting.  </w:t>
      </w:r>
      <w:r w:rsidR="006D164F" w:rsidRPr="008F45C3">
        <w:rPr>
          <w:color w:val="1F497D" w:themeColor="text2"/>
          <w:sz w:val="24"/>
          <w:szCs w:val="24"/>
        </w:rPr>
        <w:t xml:space="preserve">Shortly </w:t>
      </w:r>
      <w:r w:rsidR="00701364">
        <w:rPr>
          <w:color w:val="1F497D" w:themeColor="text2"/>
          <w:sz w:val="24"/>
          <w:szCs w:val="24"/>
        </w:rPr>
        <w:t>there</w:t>
      </w:r>
      <w:r w:rsidR="006D164F" w:rsidRPr="008F45C3">
        <w:rPr>
          <w:color w:val="1F497D" w:themeColor="text2"/>
          <w:sz w:val="24"/>
          <w:szCs w:val="24"/>
        </w:rPr>
        <w:t>af</w:t>
      </w:r>
      <w:r w:rsidR="00701364">
        <w:rPr>
          <w:color w:val="1F497D" w:themeColor="text2"/>
          <w:sz w:val="24"/>
          <w:szCs w:val="24"/>
        </w:rPr>
        <w:t>ter</w:t>
      </w:r>
      <w:bookmarkStart w:id="0" w:name="_GoBack"/>
      <w:bookmarkEnd w:id="0"/>
      <w:r w:rsidR="006D164F" w:rsidRPr="008F45C3">
        <w:rPr>
          <w:color w:val="1F497D" w:themeColor="text2"/>
          <w:sz w:val="24"/>
          <w:szCs w:val="24"/>
        </w:rPr>
        <w:t>, A</w:t>
      </w:r>
      <w:r w:rsidR="008F45C3">
        <w:rPr>
          <w:color w:val="1F497D" w:themeColor="text2"/>
          <w:sz w:val="24"/>
          <w:szCs w:val="24"/>
        </w:rPr>
        <w:t>nn Marie received a</w:t>
      </w:r>
      <w:r w:rsidR="00E418BA">
        <w:rPr>
          <w:color w:val="1F497D" w:themeColor="text2"/>
          <w:sz w:val="24"/>
          <w:szCs w:val="24"/>
        </w:rPr>
        <w:t>n email from Dr. Jones’ with his</w:t>
      </w:r>
      <w:r w:rsidR="008F45C3">
        <w:rPr>
          <w:color w:val="1F497D" w:themeColor="text2"/>
          <w:sz w:val="24"/>
          <w:szCs w:val="24"/>
        </w:rPr>
        <w:t xml:space="preserve"> draft ACORP</w:t>
      </w:r>
      <w:r w:rsidR="006D164F" w:rsidRPr="008F45C3">
        <w:rPr>
          <w:color w:val="1F497D" w:themeColor="text2"/>
          <w:sz w:val="24"/>
          <w:szCs w:val="24"/>
        </w:rPr>
        <w:t xml:space="preserve"> </w:t>
      </w:r>
      <w:r w:rsidR="008F45C3">
        <w:rPr>
          <w:color w:val="1F497D" w:themeColor="text2"/>
          <w:sz w:val="24"/>
          <w:szCs w:val="24"/>
        </w:rPr>
        <w:t>attached.</w:t>
      </w:r>
      <w:r w:rsidR="006D164F" w:rsidRPr="008F45C3">
        <w:rPr>
          <w:color w:val="1F497D" w:themeColor="text2"/>
          <w:sz w:val="24"/>
          <w:szCs w:val="24"/>
        </w:rPr>
        <w:t xml:space="preserve">  </w:t>
      </w:r>
      <w:r w:rsidR="008F45C3">
        <w:rPr>
          <w:color w:val="1F497D" w:themeColor="text2"/>
          <w:sz w:val="24"/>
          <w:szCs w:val="24"/>
        </w:rPr>
        <w:t xml:space="preserve">As Ann Marie scanned the draft ACORP, she noticed Dr. </w:t>
      </w:r>
      <w:r w:rsidR="00E418BA">
        <w:rPr>
          <w:color w:val="1F497D" w:themeColor="text2"/>
          <w:sz w:val="24"/>
          <w:szCs w:val="24"/>
        </w:rPr>
        <w:t>Jones</w:t>
      </w:r>
      <w:r w:rsidR="00E418BA" w:rsidRPr="008F45C3">
        <w:rPr>
          <w:color w:val="1F497D" w:themeColor="text2"/>
          <w:sz w:val="24"/>
          <w:szCs w:val="24"/>
        </w:rPr>
        <w:t xml:space="preserve"> </w:t>
      </w:r>
      <w:r w:rsidR="00E418BA">
        <w:rPr>
          <w:color w:val="1F497D" w:themeColor="text2"/>
          <w:sz w:val="24"/>
          <w:szCs w:val="24"/>
        </w:rPr>
        <w:t xml:space="preserve">had </w:t>
      </w:r>
      <w:r w:rsidR="00893BD4" w:rsidRPr="008F45C3">
        <w:rPr>
          <w:color w:val="1F497D" w:themeColor="text2"/>
          <w:sz w:val="24"/>
          <w:szCs w:val="24"/>
        </w:rPr>
        <w:t xml:space="preserve">filled out Appendix 9 (see page 2) </w:t>
      </w:r>
      <w:r w:rsidR="008F45C3">
        <w:rPr>
          <w:color w:val="1F497D" w:themeColor="text2"/>
          <w:sz w:val="24"/>
          <w:szCs w:val="24"/>
        </w:rPr>
        <w:t xml:space="preserve">apparently </w:t>
      </w:r>
      <w:r w:rsidR="00893BD4" w:rsidRPr="008F45C3">
        <w:rPr>
          <w:color w:val="1F497D" w:themeColor="text2"/>
          <w:sz w:val="24"/>
          <w:szCs w:val="24"/>
        </w:rPr>
        <w:t xml:space="preserve">because of the method of euthanasia </w:t>
      </w:r>
      <w:r w:rsidR="008F45C3">
        <w:rPr>
          <w:color w:val="1F497D" w:themeColor="text2"/>
          <w:sz w:val="24"/>
          <w:szCs w:val="24"/>
        </w:rPr>
        <w:t>proposed.  The conscientious Ann Marie pulled</w:t>
      </w:r>
      <w:r w:rsidR="00893BD4" w:rsidRPr="008F45C3">
        <w:rPr>
          <w:color w:val="1F497D" w:themeColor="text2"/>
          <w:sz w:val="24"/>
          <w:szCs w:val="24"/>
        </w:rPr>
        <w:t xml:space="preserve"> out her </w:t>
      </w:r>
      <w:r w:rsidR="008F45C3">
        <w:rPr>
          <w:color w:val="1F497D" w:themeColor="text2"/>
          <w:sz w:val="24"/>
          <w:szCs w:val="24"/>
        </w:rPr>
        <w:t>copy of</w:t>
      </w:r>
      <w:r w:rsidR="00E418BA">
        <w:rPr>
          <w:color w:val="1F497D" w:themeColor="text2"/>
          <w:sz w:val="24"/>
          <w:szCs w:val="24"/>
        </w:rPr>
        <w:t xml:space="preserve"> the</w:t>
      </w:r>
      <w:r w:rsidR="008F45C3">
        <w:rPr>
          <w:color w:val="1F497D" w:themeColor="text2"/>
          <w:sz w:val="24"/>
          <w:szCs w:val="24"/>
        </w:rPr>
        <w:t xml:space="preserve"> </w:t>
      </w:r>
      <w:r w:rsidR="00893BD4" w:rsidRPr="008F45C3">
        <w:rPr>
          <w:i/>
          <w:color w:val="1F497D" w:themeColor="text2"/>
          <w:sz w:val="24"/>
          <w:szCs w:val="24"/>
        </w:rPr>
        <w:t xml:space="preserve">Guide </w:t>
      </w:r>
      <w:r w:rsidR="008F45C3">
        <w:rPr>
          <w:color w:val="1F497D" w:themeColor="text2"/>
          <w:sz w:val="24"/>
          <w:szCs w:val="24"/>
        </w:rPr>
        <w:t>and the</w:t>
      </w:r>
      <w:r w:rsidR="00893BD4" w:rsidRPr="008F45C3">
        <w:rPr>
          <w:i/>
          <w:color w:val="1F497D" w:themeColor="text2"/>
          <w:sz w:val="24"/>
          <w:szCs w:val="24"/>
        </w:rPr>
        <w:t xml:space="preserve"> AVMA Guidelines for the Euthan</w:t>
      </w:r>
      <w:r w:rsidR="00275A42" w:rsidRPr="008F45C3">
        <w:rPr>
          <w:i/>
          <w:color w:val="1F497D" w:themeColor="text2"/>
          <w:sz w:val="24"/>
          <w:szCs w:val="24"/>
        </w:rPr>
        <w:t>a</w:t>
      </w:r>
      <w:r w:rsidR="008F45C3">
        <w:rPr>
          <w:i/>
          <w:color w:val="1F497D" w:themeColor="text2"/>
          <w:sz w:val="24"/>
          <w:szCs w:val="24"/>
        </w:rPr>
        <w:t xml:space="preserve">sia of Animals: 2013 Edition.  </w:t>
      </w:r>
      <w:r w:rsidR="00893BD4" w:rsidRPr="008F45C3">
        <w:rPr>
          <w:color w:val="1F497D" w:themeColor="text2"/>
          <w:sz w:val="24"/>
          <w:szCs w:val="24"/>
        </w:rPr>
        <w:t xml:space="preserve"> </w:t>
      </w:r>
      <w:r w:rsidR="008F45C3">
        <w:rPr>
          <w:color w:val="1F497D" w:themeColor="text2"/>
          <w:sz w:val="24"/>
          <w:szCs w:val="24"/>
        </w:rPr>
        <w:t>After finishing her review of the draft ACORP, Ann</w:t>
      </w:r>
      <w:r w:rsidR="00D12C53" w:rsidRPr="008F45C3">
        <w:rPr>
          <w:color w:val="1F497D" w:themeColor="text2"/>
          <w:sz w:val="24"/>
          <w:szCs w:val="24"/>
        </w:rPr>
        <w:t xml:space="preserve"> Marie</w:t>
      </w:r>
      <w:r w:rsidR="008F45C3">
        <w:rPr>
          <w:color w:val="1F497D" w:themeColor="text2"/>
          <w:sz w:val="24"/>
          <w:szCs w:val="24"/>
        </w:rPr>
        <w:t xml:space="preserve"> decided that Dr. Jones needed to come prepared for their meeting so </w:t>
      </w:r>
      <w:r w:rsidR="00275A42" w:rsidRPr="008F45C3">
        <w:rPr>
          <w:color w:val="1F497D" w:themeColor="text2"/>
          <w:sz w:val="24"/>
          <w:szCs w:val="24"/>
        </w:rPr>
        <w:t>she</w:t>
      </w:r>
      <w:r w:rsidR="00D12C53" w:rsidRPr="008F45C3">
        <w:rPr>
          <w:color w:val="1F497D" w:themeColor="text2"/>
          <w:sz w:val="24"/>
          <w:szCs w:val="24"/>
        </w:rPr>
        <w:t xml:space="preserve"> </w:t>
      </w:r>
      <w:r w:rsidR="008F45C3">
        <w:rPr>
          <w:color w:val="1F497D" w:themeColor="text2"/>
          <w:sz w:val="24"/>
          <w:szCs w:val="24"/>
        </w:rPr>
        <w:t>email</w:t>
      </w:r>
      <w:r w:rsidR="00E418BA">
        <w:rPr>
          <w:color w:val="1F497D" w:themeColor="text2"/>
          <w:sz w:val="24"/>
          <w:szCs w:val="24"/>
        </w:rPr>
        <w:t>ed</w:t>
      </w:r>
      <w:r w:rsidR="008F45C3">
        <w:rPr>
          <w:color w:val="1F497D" w:themeColor="text2"/>
          <w:sz w:val="24"/>
          <w:szCs w:val="24"/>
        </w:rPr>
        <w:t xml:space="preserve"> him </w:t>
      </w:r>
      <w:r w:rsidR="00275A42" w:rsidRPr="008F45C3">
        <w:rPr>
          <w:color w:val="1F497D" w:themeColor="text2"/>
          <w:sz w:val="24"/>
          <w:szCs w:val="24"/>
        </w:rPr>
        <w:t>a</w:t>
      </w:r>
      <w:r w:rsidR="00893BD4" w:rsidRPr="008F45C3">
        <w:rPr>
          <w:color w:val="1F497D" w:themeColor="text2"/>
          <w:sz w:val="24"/>
          <w:szCs w:val="24"/>
        </w:rPr>
        <w:t xml:space="preserve"> copy of </w:t>
      </w:r>
      <w:r w:rsidR="00275A42" w:rsidRPr="008F45C3">
        <w:rPr>
          <w:color w:val="1F497D" w:themeColor="text2"/>
          <w:sz w:val="24"/>
          <w:szCs w:val="24"/>
        </w:rPr>
        <w:t>the</w:t>
      </w:r>
      <w:r w:rsidR="00893BD4" w:rsidRPr="008F45C3">
        <w:rPr>
          <w:color w:val="1F497D" w:themeColor="text2"/>
          <w:sz w:val="24"/>
          <w:szCs w:val="24"/>
        </w:rPr>
        <w:t xml:space="preserve"> VA Deviations and Departures flowchart</w:t>
      </w:r>
      <w:r w:rsidR="00B6741F" w:rsidRPr="008F45C3">
        <w:rPr>
          <w:color w:val="1F497D" w:themeColor="text2"/>
          <w:sz w:val="24"/>
          <w:szCs w:val="24"/>
        </w:rPr>
        <w:t xml:space="preserve"> (see page 3)</w:t>
      </w:r>
      <w:r w:rsidR="00893BD4" w:rsidRPr="008F45C3">
        <w:rPr>
          <w:color w:val="1F497D" w:themeColor="text2"/>
          <w:sz w:val="24"/>
          <w:szCs w:val="24"/>
        </w:rPr>
        <w:t xml:space="preserve"> and suggested he rev</w:t>
      </w:r>
      <w:r w:rsidR="00275A42" w:rsidRPr="008F45C3">
        <w:rPr>
          <w:color w:val="1F497D" w:themeColor="text2"/>
          <w:sz w:val="24"/>
          <w:szCs w:val="24"/>
        </w:rPr>
        <w:t xml:space="preserve">iew a few </w:t>
      </w:r>
      <w:r w:rsidR="00893BD4" w:rsidRPr="008F45C3">
        <w:rPr>
          <w:color w:val="1F497D" w:themeColor="text2"/>
          <w:sz w:val="24"/>
          <w:szCs w:val="24"/>
        </w:rPr>
        <w:t xml:space="preserve">of the </w:t>
      </w:r>
      <w:r w:rsidR="00D12C53" w:rsidRPr="008F45C3">
        <w:rPr>
          <w:color w:val="1F497D" w:themeColor="text2"/>
          <w:sz w:val="24"/>
          <w:szCs w:val="24"/>
        </w:rPr>
        <w:t>optional IACUC</w:t>
      </w:r>
      <w:r w:rsidR="008F45C3">
        <w:rPr>
          <w:color w:val="1F497D" w:themeColor="text2"/>
          <w:sz w:val="24"/>
          <w:szCs w:val="24"/>
        </w:rPr>
        <w:t xml:space="preserve"> training exercises found on the VA</w:t>
      </w:r>
      <w:r w:rsidR="00F535C6">
        <w:rPr>
          <w:color w:val="1F497D" w:themeColor="text2"/>
          <w:sz w:val="24"/>
          <w:szCs w:val="24"/>
        </w:rPr>
        <w:t xml:space="preserve"> </w:t>
      </w:r>
      <w:r w:rsidR="008F45C3">
        <w:rPr>
          <w:color w:val="1F497D" w:themeColor="text2"/>
          <w:sz w:val="24"/>
          <w:szCs w:val="24"/>
        </w:rPr>
        <w:t>-</w:t>
      </w:r>
      <w:r w:rsidR="00275A42" w:rsidRPr="008F45C3">
        <w:rPr>
          <w:color w:val="1F497D" w:themeColor="text2"/>
          <w:sz w:val="24"/>
          <w:szCs w:val="24"/>
        </w:rPr>
        <w:t xml:space="preserve"> Use of A</w:t>
      </w:r>
      <w:r w:rsidR="00D12C53" w:rsidRPr="008F45C3">
        <w:rPr>
          <w:color w:val="1F497D" w:themeColor="text2"/>
          <w:sz w:val="24"/>
          <w:szCs w:val="24"/>
        </w:rPr>
        <w:t>nimal</w:t>
      </w:r>
      <w:r w:rsidR="00275A42" w:rsidRPr="008F45C3">
        <w:rPr>
          <w:color w:val="1F497D" w:themeColor="text2"/>
          <w:sz w:val="24"/>
          <w:szCs w:val="24"/>
        </w:rPr>
        <w:t>s in</w:t>
      </w:r>
      <w:r w:rsidR="00D12C53" w:rsidRPr="008F45C3">
        <w:rPr>
          <w:color w:val="1F497D" w:themeColor="text2"/>
          <w:sz w:val="24"/>
          <w:szCs w:val="24"/>
        </w:rPr>
        <w:t xml:space="preserve"> </w:t>
      </w:r>
      <w:r w:rsidR="00275A42" w:rsidRPr="008F45C3">
        <w:rPr>
          <w:color w:val="1F497D" w:themeColor="text2"/>
          <w:sz w:val="24"/>
          <w:szCs w:val="24"/>
        </w:rPr>
        <w:t>R</w:t>
      </w:r>
      <w:r w:rsidR="00D12C53" w:rsidRPr="008F45C3">
        <w:rPr>
          <w:color w:val="1F497D" w:themeColor="text2"/>
          <w:sz w:val="24"/>
          <w:szCs w:val="24"/>
        </w:rPr>
        <w:t>esearch</w:t>
      </w:r>
      <w:r w:rsidR="008F45C3">
        <w:rPr>
          <w:color w:val="1F497D" w:themeColor="text2"/>
          <w:sz w:val="24"/>
          <w:szCs w:val="24"/>
        </w:rPr>
        <w:t xml:space="preserve"> webpage</w:t>
      </w:r>
      <w:r w:rsidR="00275A42" w:rsidRPr="008F45C3">
        <w:rPr>
          <w:color w:val="1F497D" w:themeColor="text2"/>
          <w:sz w:val="24"/>
          <w:szCs w:val="24"/>
        </w:rPr>
        <w:t xml:space="preserve"> (see link:</w:t>
      </w:r>
      <w:r w:rsidR="00D12C53" w:rsidRPr="008F45C3">
        <w:rPr>
          <w:color w:val="1F497D" w:themeColor="text2"/>
          <w:sz w:val="24"/>
          <w:szCs w:val="24"/>
        </w:rPr>
        <w:t xml:space="preserve"> </w:t>
      </w:r>
      <w:hyperlink r:id="rId11" w:history="1">
        <w:r w:rsidR="00275A42" w:rsidRPr="008F45C3">
          <w:rPr>
            <w:rStyle w:val="Hyperlink"/>
            <w:color w:val="1F497D" w:themeColor="text2"/>
            <w:sz w:val="24"/>
            <w:szCs w:val="24"/>
          </w:rPr>
          <w:t>http://www.research.va.gov/programs/animal_research/</w:t>
        </w:r>
      </w:hyperlink>
      <w:r w:rsidR="00275A42" w:rsidRPr="008F45C3">
        <w:rPr>
          <w:color w:val="1F497D" w:themeColor="text2"/>
          <w:sz w:val="24"/>
          <w:szCs w:val="24"/>
        </w:rPr>
        <w:t>).</w:t>
      </w:r>
    </w:p>
    <w:p w:rsidR="00162351" w:rsidRPr="008F45C3" w:rsidRDefault="00162351" w:rsidP="00162351">
      <w:pPr>
        <w:rPr>
          <w:i/>
          <w:color w:val="1F497D" w:themeColor="text2"/>
          <w:sz w:val="24"/>
          <w:szCs w:val="24"/>
        </w:rPr>
      </w:pPr>
      <w:r w:rsidRPr="008F45C3">
        <w:rPr>
          <w:color w:val="1F497D" w:themeColor="text2"/>
          <w:sz w:val="24"/>
          <w:szCs w:val="24"/>
        </w:rPr>
        <w:t>What problems do you think Ann Marie</w:t>
      </w:r>
      <w:r w:rsidR="00275A42" w:rsidRPr="008F45C3">
        <w:rPr>
          <w:color w:val="1F497D" w:themeColor="text2"/>
          <w:sz w:val="24"/>
          <w:szCs w:val="24"/>
        </w:rPr>
        <w:t xml:space="preserve"> found when she reviewed Dr. Jones’ Appendix 9?</w:t>
      </w:r>
    </w:p>
    <w:p w:rsidR="00162351" w:rsidRPr="008F45C3" w:rsidRDefault="00162351" w:rsidP="00162351">
      <w:pPr>
        <w:rPr>
          <w:i/>
          <w:color w:val="1F497D" w:themeColor="text2"/>
          <w:sz w:val="24"/>
          <w:szCs w:val="24"/>
        </w:rPr>
      </w:pPr>
    </w:p>
    <w:p w:rsidR="00162351" w:rsidRPr="008F45C3" w:rsidRDefault="00162351" w:rsidP="00162351">
      <w:pPr>
        <w:rPr>
          <w:i/>
          <w:color w:val="1F497D" w:themeColor="text2"/>
          <w:sz w:val="24"/>
          <w:szCs w:val="24"/>
        </w:rPr>
      </w:pPr>
    </w:p>
    <w:p w:rsidR="007D44E7" w:rsidRDefault="007D44E7"/>
    <w:p w:rsidR="00B6741F" w:rsidRDefault="00B6741F"/>
    <w:p w:rsidR="00B6741F" w:rsidRDefault="00B6741F"/>
    <w:p w:rsidR="00B6741F" w:rsidRDefault="00B6741F"/>
    <w:p w:rsidR="00B6741F" w:rsidRDefault="00B6741F"/>
    <w:p w:rsidR="00B6741F" w:rsidRDefault="00B6741F"/>
    <w:p w:rsidR="00B6741F" w:rsidRDefault="00B6741F"/>
    <w:p w:rsidR="003D603A" w:rsidRDefault="003D603A" w:rsidP="003D603A"/>
    <w:p w:rsidR="003D603A" w:rsidRPr="00F535C6" w:rsidRDefault="003D603A" w:rsidP="003D603A">
      <w:pPr>
        <w:rPr>
          <w:color w:val="1F497D" w:themeColor="text2"/>
          <w:sz w:val="24"/>
          <w:szCs w:val="24"/>
        </w:rPr>
      </w:pPr>
      <w:r w:rsidRPr="00F535C6">
        <w:rPr>
          <w:color w:val="1F497D" w:themeColor="text2"/>
          <w:sz w:val="24"/>
          <w:szCs w:val="24"/>
        </w:rPr>
        <w:lastRenderedPageBreak/>
        <w:t>The Appendix 9 of Dr. Jones’ ACORP that Ann Marie reviewed is shown below; please note this Appendix 9 (verbatim) was submitted for JIT secondary veterinary review.</w:t>
      </w:r>
    </w:p>
    <w:p w:rsidR="00B6741F" w:rsidRDefault="00B6741F" w:rsidP="00B6741F">
      <w:pPr>
        <w:pStyle w:val="Default"/>
        <w:rPr>
          <w:b/>
          <w:bCs/>
          <w:u w:val="single"/>
        </w:rPr>
      </w:pPr>
    </w:p>
    <w:p w:rsidR="00B6741F" w:rsidRDefault="00B6741F" w:rsidP="00B6741F">
      <w:pPr>
        <w:pStyle w:val="Default"/>
        <w:jc w:val="center"/>
        <w:rPr>
          <w:b/>
          <w:bCs/>
          <w:sz w:val="20"/>
          <w:szCs w:val="20"/>
          <w:u w:val="single"/>
        </w:rPr>
      </w:pPr>
    </w:p>
    <w:p w:rsidR="00B6741F" w:rsidRDefault="00B6741F" w:rsidP="00B6741F">
      <w:pPr>
        <w:pStyle w:val="Default"/>
        <w:jc w:val="center"/>
        <w:rPr>
          <w:sz w:val="20"/>
          <w:szCs w:val="20"/>
        </w:rPr>
      </w:pPr>
      <w:r>
        <w:rPr>
          <w:b/>
          <w:bCs/>
          <w:sz w:val="20"/>
          <w:szCs w:val="20"/>
        </w:rPr>
        <w:t>ACORP Appendix 9</w:t>
      </w:r>
    </w:p>
    <w:p w:rsidR="00B6741F" w:rsidRDefault="00B6741F" w:rsidP="00B6741F">
      <w:pPr>
        <w:pStyle w:val="Default"/>
        <w:jc w:val="center"/>
        <w:rPr>
          <w:b/>
          <w:bCs/>
          <w:i/>
          <w:iCs/>
          <w:sz w:val="20"/>
          <w:szCs w:val="20"/>
        </w:rPr>
      </w:pPr>
      <w:r>
        <w:rPr>
          <w:b/>
          <w:bCs/>
          <w:sz w:val="20"/>
          <w:szCs w:val="20"/>
        </w:rPr>
        <w:t xml:space="preserve">DEPARTURES FROM “MUST” AND “SHOULD” STANDARDS IN THE </w:t>
      </w:r>
      <w:r>
        <w:rPr>
          <w:b/>
          <w:bCs/>
          <w:i/>
          <w:iCs/>
          <w:sz w:val="20"/>
          <w:szCs w:val="20"/>
        </w:rPr>
        <w:t>GUIDE (2011)</w:t>
      </w:r>
    </w:p>
    <w:p w:rsidR="00B6741F" w:rsidRDefault="00B6741F" w:rsidP="00B6741F">
      <w:pPr>
        <w:pStyle w:val="Default"/>
        <w:jc w:val="center"/>
        <w:rPr>
          <w:sz w:val="20"/>
          <w:szCs w:val="20"/>
        </w:rPr>
      </w:pPr>
    </w:p>
    <w:p w:rsidR="00B6741F" w:rsidRDefault="00B6741F" w:rsidP="00B6741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For each IACUC-approved “departure” of this protocol from a “Must” or “Should” standard in the </w:t>
      </w:r>
      <w:r>
        <w:rPr>
          <w:rFonts w:ascii="Arial" w:hAnsi="Arial" w:cs="Arial"/>
          <w:i/>
          <w:iCs/>
          <w:sz w:val="20"/>
          <w:szCs w:val="20"/>
        </w:rPr>
        <w:t>Guide</w:t>
      </w:r>
      <w:r>
        <w:rPr>
          <w:rFonts w:ascii="Arial" w:hAnsi="Arial" w:cs="Arial"/>
          <w:sz w:val="20"/>
          <w:szCs w:val="20"/>
        </w:rPr>
        <w:t>, provide the following information. (Consult the IACUC or the Attending Veterinarian for help in determining whether any “departures” are involved.):</w:t>
      </w:r>
    </w:p>
    <w:p w:rsidR="00B6741F" w:rsidRDefault="00B6741F" w:rsidP="00B6741F">
      <w:pPr>
        <w:autoSpaceDE w:val="0"/>
        <w:autoSpaceDN w:val="0"/>
        <w:adjustRightInd w:val="0"/>
        <w:spacing w:after="0" w:line="240" w:lineRule="auto"/>
        <w:rPr>
          <w:rFonts w:ascii="Arial" w:hAnsi="Arial" w:cs="Arial"/>
          <w:sz w:val="20"/>
          <w:szCs w:val="20"/>
        </w:rPr>
      </w:pPr>
    </w:p>
    <w:p w:rsidR="00B6741F" w:rsidRDefault="00B6741F" w:rsidP="00B6741F">
      <w:pPr>
        <w:pStyle w:val="Default"/>
        <w:rPr>
          <w:sz w:val="20"/>
          <w:szCs w:val="20"/>
        </w:rPr>
      </w:pPr>
      <w:r>
        <w:rPr>
          <w:sz w:val="20"/>
          <w:szCs w:val="20"/>
        </w:rPr>
        <w:t xml:space="preserve">Copy the lines below for each departure. </w:t>
      </w:r>
    </w:p>
    <w:p w:rsidR="00B6741F" w:rsidRDefault="00B6741F" w:rsidP="00B6741F">
      <w:pPr>
        <w:pStyle w:val="Default"/>
        <w:rPr>
          <w:i/>
          <w:iCs/>
          <w:sz w:val="20"/>
          <w:szCs w:val="20"/>
        </w:rPr>
      </w:pPr>
      <w:r>
        <w:rPr>
          <w:sz w:val="20"/>
          <w:szCs w:val="20"/>
        </w:rPr>
        <w:t xml:space="preserve">Briefly summarize the “Must” or “Should” standard, and provide the number(s) of the page(s) on which it appears in the </w:t>
      </w:r>
      <w:r>
        <w:rPr>
          <w:i/>
          <w:iCs/>
          <w:sz w:val="20"/>
          <w:szCs w:val="20"/>
        </w:rPr>
        <w:t>Guide.</w:t>
      </w:r>
    </w:p>
    <w:p w:rsidR="00B6741F" w:rsidRDefault="00B6741F" w:rsidP="00B6741F">
      <w:pPr>
        <w:pStyle w:val="Default"/>
        <w:rPr>
          <w:sz w:val="20"/>
          <w:szCs w:val="20"/>
        </w:rPr>
      </w:pPr>
      <w:r>
        <w:rPr>
          <w:i/>
          <w:iCs/>
          <w:sz w:val="20"/>
          <w:szCs w:val="20"/>
        </w:rPr>
        <w:t xml:space="preserve"> </w:t>
      </w:r>
    </w:p>
    <w:p w:rsidR="00B6741F" w:rsidRDefault="00B6741F" w:rsidP="00B6741F">
      <w:pPr>
        <w:pStyle w:val="Default"/>
        <w:rPr>
          <w:sz w:val="20"/>
          <w:szCs w:val="20"/>
        </w:rPr>
      </w:pPr>
      <w:r>
        <w:rPr>
          <w:b/>
          <w:bCs/>
          <w:sz w:val="20"/>
          <w:szCs w:val="20"/>
        </w:rPr>
        <w:t xml:space="preserve">► Euthanasia by Decapitation without anaesthesia: </w:t>
      </w:r>
    </w:p>
    <w:p w:rsidR="00B6741F" w:rsidRDefault="00B6741F" w:rsidP="00B6741F">
      <w:pPr>
        <w:pStyle w:val="Default"/>
        <w:rPr>
          <w:sz w:val="20"/>
          <w:szCs w:val="20"/>
        </w:rPr>
      </w:pPr>
      <w:r>
        <w:rPr>
          <w:b/>
          <w:bCs/>
          <w:sz w:val="20"/>
          <w:szCs w:val="20"/>
        </w:rPr>
        <w:t xml:space="preserve">AVMA Guidelines (2013) Page 61, Section S2.2.2.3: Small Lab Animals (Rats), Acceptable with Conditions Methods, Physical methods, Decapitation </w:t>
      </w:r>
    </w:p>
    <w:p w:rsidR="00B6741F" w:rsidRDefault="00B6741F" w:rsidP="00B6741F">
      <w:pPr>
        <w:autoSpaceDE w:val="0"/>
        <w:autoSpaceDN w:val="0"/>
        <w:adjustRightInd w:val="0"/>
        <w:spacing w:after="0" w:line="240" w:lineRule="auto"/>
        <w:rPr>
          <w:rFonts w:ascii="Arial" w:hAnsi="Arial" w:cs="Arial"/>
          <w:sz w:val="20"/>
          <w:szCs w:val="20"/>
        </w:rPr>
      </w:pPr>
      <w:r>
        <w:rPr>
          <w:rFonts w:ascii="Arial" w:hAnsi="Arial" w:cs="Arial"/>
          <w:b/>
          <w:bCs/>
          <w:sz w:val="20"/>
          <w:szCs w:val="20"/>
        </w:rPr>
        <w:t>“Decapitation is used in lab settings because it yields tissues uncontaminated by chemical agents. Loss of cortical function is rapid and occurs within 5-30 seconds. ”</w:t>
      </w:r>
    </w:p>
    <w:p w:rsidR="00B6741F" w:rsidRDefault="00B6741F" w:rsidP="00B6741F">
      <w:pPr>
        <w:autoSpaceDE w:val="0"/>
        <w:autoSpaceDN w:val="0"/>
        <w:adjustRightInd w:val="0"/>
        <w:spacing w:after="0" w:line="240" w:lineRule="auto"/>
        <w:rPr>
          <w:rFonts w:ascii="Arial" w:hAnsi="Arial" w:cs="Arial"/>
          <w:sz w:val="20"/>
          <w:szCs w:val="20"/>
        </w:rPr>
      </w:pPr>
    </w:p>
    <w:p w:rsidR="00B6741F" w:rsidRDefault="00B6741F" w:rsidP="00B6741F">
      <w:pPr>
        <w:pStyle w:val="Default"/>
        <w:rPr>
          <w:sz w:val="20"/>
          <w:szCs w:val="20"/>
        </w:rPr>
      </w:pPr>
      <w:r>
        <w:rPr>
          <w:sz w:val="20"/>
          <w:szCs w:val="20"/>
        </w:rPr>
        <w:t xml:space="preserve">Describe the specific alternate standard(s) that will be met on this protocol, and how they will be monitored. </w:t>
      </w:r>
    </w:p>
    <w:p w:rsidR="00B6741F" w:rsidRDefault="00B6741F" w:rsidP="00B6741F">
      <w:pPr>
        <w:pStyle w:val="Default"/>
        <w:rPr>
          <w:sz w:val="20"/>
          <w:szCs w:val="20"/>
        </w:rPr>
      </w:pPr>
      <w:r>
        <w:rPr>
          <w:sz w:val="20"/>
          <w:szCs w:val="20"/>
        </w:rPr>
        <w:t xml:space="preserve">► </w:t>
      </w:r>
      <w:r>
        <w:rPr>
          <w:b/>
          <w:bCs/>
          <w:sz w:val="20"/>
          <w:szCs w:val="20"/>
        </w:rPr>
        <w:t xml:space="preserve">Decapitation is acceptable with conditions for rodents: </w:t>
      </w:r>
    </w:p>
    <w:p w:rsidR="00B6741F" w:rsidRDefault="00B6741F" w:rsidP="00B6741F">
      <w:pPr>
        <w:pStyle w:val="Default"/>
        <w:spacing w:after="36"/>
        <w:rPr>
          <w:sz w:val="20"/>
          <w:szCs w:val="20"/>
        </w:rPr>
      </w:pPr>
      <w:r>
        <w:rPr>
          <w:b/>
          <w:bCs/>
          <w:sz w:val="20"/>
          <w:szCs w:val="20"/>
        </w:rPr>
        <w:t xml:space="preserve">1. Use of a specialized rat guillotine, maintained in good condition with sharp blades. </w:t>
      </w:r>
    </w:p>
    <w:p w:rsidR="00B6741F" w:rsidRDefault="00B6741F" w:rsidP="00B6741F">
      <w:pPr>
        <w:pStyle w:val="Default"/>
        <w:spacing w:after="36"/>
        <w:rPr>
          <w:sz w:val="20"/>
          <w:szCs w:val="20"/>
        </w:rPr>
      </w:pPr>
      <w:r>
        <w:rPr>
          <w:b/>
          <w:bCs/>
          <w:sz w:val="20"/>
          <w:szCs w:val="20"/>
        </w:rPr>
        <w:t xml:space="preserve">2. Personnel will be or have been trained on anaesthetized and/or dead animals to demonstrate proficiency. Only trained personnel are allowed to euthanize animals on this protocol. </w:t>
      </w:r>
    </w:p>
    <w:p w:rsidR="00B6741F" w:rsidRDefault="00B6741F" w:rsidP="00B6741F">
      <w:pPr>
        <w:pStyle w:val="Default"/>
        <w:rPr>
          <w:sz w:val="20"/>
          <w:szCs w:val="20"/>
        </w:rPr>
      </w:pPr>
      <w:r>
        <w:rPr>
          <w:b/>
          <w:bCs/>
          <w:sz w:val="20"/>
          <w:szCs w:val="20"/>
        </w:rPr>
        <w:t xml:space="preserve">3. We will use restraints (Decapicones, transparent plastic cones open at the end) to prevent excess moving around of rats just prior to decapitation, which allows the procedure to be done quickly and reduce unnecessary distress on the animals. </w:t>
      </w:r>
    </w:p>
    <w:p w:rsidR="00B6741F" w:rsidRDefault="00B6741F" w:rsidP="00B6741F">
      <w:pPr>
        <w:autoSpaceDE w:val="0"/>
        <w:autoSpaceDN w:val="0"/>
        <w:adjustRightInd w:val="0"/>
        <w:spacing w:after="0" w:line="240" w:lineRule="auto"/>
        <w:rPr>
          <w:rFonts w:ascii="Arial" w:hAnsi="Arial" w:cs="Arial"/>
          <w:sz w:val="20"/>
          <w:szCs w:val="20"/>
        </w:rPr>
      </w:pPr>
    </w:p>
    <w:p w:rsidR="00B6741F" w:rsidRDefault="00B6741F" w:rsidP="00B6741F">
      <w:pPr>
        <w:pStyle w:val="Default"/>
        <w:rPr>
          <w:sz w:val="20"/>
          <w:szCs w:val="20"/>
        </w:rPr>
      </w:pPr>
      <w:r>
        <w:rPr>
          <w:sz w:val="20"/>
          <w:szCs w:val="20"/>
        </w:rPr>
        <w:t xml:space="preserve">Provide the scientific, veterinary medical or animal welfare considerations that justify this departure </w:t>
      </w:r>
    </w:p>
    <w:p w:rsidR="00B6741F" w:rsidRDefault="00B6741F" w:rsidP="00B6741F">
      <w:pPr>
        <w:pStyle w:val="Default"/>
        <w:rPr>
          <w:color w:val="auto"/>
          <w:sz w:val="20"/>
          <w:szCs w:val="20"/>
        </w:rPr>
      </w:pPr>
    </w:p>
    <w:p w:rsidR="00B6741F" w:rsidRDefault="00B6741F" w:rsidP="00B6741F">
      <w:pPr>
        <w:pStyle w:val="Default"/>
        <w:rPr>
          <w:sz w:val="20"/>
          <w:szCs w:val="20"/>
        </w:rPr>
      </w:pPr>
      <w:r>
        <w:rPr>
          <w:b/>
          <w:bCs/>
          <w:sz w:val="20"/>
          <w:szCs w:val="20"/>
        </w:rPr>
        <w:t xml:space="preserve">►In this study, we plan to determine post-mortem levels of monoamines (serotonin and dopamine) and monoamine receptor levels in brain regions involved in depression. Inhalant agents and barbiturates are documented to alter monoamine transporter function (el-Maghrabi and Eckenhoff., 1993; Fink-Jensen et al., 1994; Mantz et al., 1994) and would prevent accurate measurement of rat brain monoamines in our study. A physical method of euthanasia without sedation is therefore necessary in this study. </w:t>
      </w:r>
    </w:p>
    <w:p w:rsidR="00B6741F" w:rsidRDefault="00B6741F" w:rsidP="00B6741F">
      <w:pPr>
        <w:autoSpaceDE w:val="0"/>
        <w:autoSpaceDN w:val="0"/>
        <w:adjustRightInd w:val="0"/>
        <w:spacing w:after="0" w:line="240" w:lineRule="auto"/>
        <w:rPr>
          <w:rFonts w:ascii="Arial" w:hAnsi="Arial" w:cs="Arial"/>
          <w:sz w:val="20"/>
          <w:szCs w:val="20"/>
        </w:rPr>
      </w:pPr>
      <w:r>
        <w:rPr>
          <w:rFonts w:ascii="Arial" w:hAnsi="Arial" w:cs="Arial"/>
          <w:b/>
          <w:bCs/>
          <w:sz w:val="20"/>
          <w:szCs w:val="20"/>
        </w:rPr>
        <w:t>Description: Decapicones (tapered plastic tubes, Braintree Scientific Inc.) will be used to restrain rats prior to live decapitation using a guillotine, a process that is quick and relatively stress-free for the animals. The guillotine is cleaned with soap and water immediately after each use and rinsed with 70% ethanol prior to use again. The guillotine is maintained with a sharp blade to provide instant decapitation.</w:t>
      </w:r>
    </w:p>
    <w:p w:rsidR="00B6741F" w:rsidRDefault="00B6741F" w:rsidP="00B6741F">
      <w:pPr>
        <w:autoSpaceDE w:val="0"/>
        <w:autoSpaceDN w:val="0"/>
        <w:adjustRightInd w:val="0"/>
        <w:spacing w:after="0" w:line="240" w:lineRule="auto"/>
        <w:rPr>
          <w:rFonts w:ascii="Arial" w:hAnsi="Arial" w:cs="Arial"/>
          <w:color w:val="000000"/>
          <w:sz w:val="16"/>
          <w:szCs w:val="16"/>
        </w:rPr>
      </w:pPr>
    </w:p>
    <w:p w:rsidR="00B6741F" w:rsidRDefault="00B6741F" w:rsidP="00B6741F">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b/>
          <w:bCs/>
          <w:color w:val="000000"/>
          <w:sz w:val="16"/>
          <w:szCs w:val="16"/>
        </w:rPr>
        <w:t xml:space="preserve">El-Maghrabi, EA, and RG Eckenhoff (1993) Inhibition of dopaminergic transport in rat brain synaptosomes by volatile anesthetics. Anesthesiology 78: 750. </w:t>
      </w:r>
    </w:p>
    <w:p w:rsidR="00B6741F" w:rsidRDefault="00B6741F" w:rsidP="00B6741F">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b/>
          <w:bCs/>
          <w:color w:val="000000"/>
          <w:sz w:val="16"/>
          <w:szCs w:val="16"/>
        </w:rPr>
        <w:t xml:space="preserve">Fink-Jensen A, SH Ingwersen, PG Nielsen, L Hansen, EB Neilsen and AJ Hansen (1994) Halothane anesthesia enhances the effect of dopamine uptake inhibition on interstitial levels of striatal dopamine. N. Sch. Arch. Pharmacol. 350:239. </w:t>
      </w:r>
      <w:r>
        <w:rPr>
          <w:rFonts w:ascii="Arial" w:hAnsi="Arial" w:cs="Arial"/>
          <w:color w:val="000000"/>
          <w:sz w:val="16"/>
          <w:szCs w:val="16"/>
        </w:rPr>
        <w:t xml:space="preserve"> </w:t>
      </w:r>
    </w:p>
    <w:p w:rsidR="00B6741F" w:rsidRDefault="00B6741F" w:rsidP="00B6741F">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 xml:space="preserve">Mantz, J., C Varlet, JB Lecharny, D Henzel, P Lenot and JM Desmonts (1994) Effects of volatile anesthetics, thiopental and ketamine on spontaneous and depolarization-evoked dopamine release from striatal synaptosomes in the rat. Anesthesiology 80: 352. </w:t>
      </w:r>
    </w:p>
    <w:p w:rsidR="002928E4" w:rsidRDefault="002928E4" w:rsidP="00B6741F">
      <w:pPr>
        <w:autoSpaceDE w:val="0"/>
        <w:autoSpaceDN w:val="0"/>
        <w:adjustRightInd w:val="0"/>
        <w:spacing w:after="0" w:line="240" w:lineRule="auto"/>
        <w:rPr>
          <w:rFonts w:ascii="Arial" w:hAnsi="Arial" w:cs="Arial"/>
          <w:b/>
          <w:bCs/>
          <w:color w:val="000000"/>
          <w:sz w:val="16"/>
          <w:szCs w:val="16"/>
        </w:rPr>
      </w:pPr>
    </w:p>
    <w:p w:rsidR="002928E4" w:rsidRDefault="002928E4" w:rsidP="00B6741F">
      <w:pPr>
        <w:autoSpaceDE w:val="0"/>
        <w:autoSpaceDN w:val="0"/>
        <w:adjustRightInd w:val="0"/>
        <w:spacing w:after="0" w:line="240" w:lineRule="auto"/>
        <w:rPr>
          <w:rFonts w:ascii="Arial" w:hAnsi="Arial" w:cs="Arial"/>
          <w:b/>
          <w:bCs/>
          <w:color w:val="000000"/>
          <w:sz w:val="16"/>
          <w:szCs w:val="16"/>
        </w:rPr>
      </w:pPr>
      <w:r>
        <w:rPr>
          <w:noProof/>
        </w:rPr>
        <w:lastRenderedPageBreak/>
        <w:drawing>
          <wp:inline distT="0" distB="0" distL="0" distR="0" wp14:anchorId="569A934C" wp14:editId="0311A580">
            <wp:extent cx="5943600" cy="7168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7168515"/>
                    </a:xfrm>
                    <a:prstGeom prst="rect">
                      <a:avLst/>
                    </a:prstGeom>
                  </pic:spPr>
                </pic:pic>
              </a:graphicData>
            </a:graphic>
          </wp:inline>
        </w:drawing>
      </w:r>
    </w:p>
    <w:p w:rsidR="002928E4" w:rsidRDefault="002928E4" w:rsidP="00B6741F">
      <w:pPr>
        <w:autoSpaceDE w:val="0"/>
        <w:autoSpaceDN w:val="0"/>
        <w:adjustRightInd w:val="0"/>
        <w:spacing w:after="0" w:line="240" w:lineRule="auto"/>
        <w:rPr>
          <w:rFonts w:ascii="Arial" w:hAnsi="Arial" w:cs="Arial"/>
          <w:color w:val="000000"/>
          <w:sz w:val="16"/>
          <w:szCs w:val="16"/>
        </w:rPr>
      </w:pPr>
    </w:p>
    <w:p w:rsidR="00B6741F" w:rsidRDefault="00B6741F" w:rsidP="00B6741F">
      <w:pPr>
        <w:autoSpaceDE w:val="0"/>
        <w:autoSpaceDN w:val="0"/>
        <w:adjustRightInd w:val="0"/>
        <w:spacing w:after="0" w:line="240" w:lineRule="auto"/>
        <w:rPr>
          <w:rFonts w:ascii="Arial" w:hAnsi="Arial" w:cs="Arial"/>
          <w:sz w:val="18"/>
          <w:szCs w:val="18"/>
        </w:rPr>
      </w:pPr>
    </w:p>
    <w:p w:rsidR="002928E4" w:rsidRDefault="002928E4" w:rsidP="003D603A">
      <w:pPr>
        <w:rPr>
          <w:color w:val="1F497D" w:themeColor="text2"/>
          <w:sz w:val="24"/>
          <w:szCs w:val="24"/>
          <w:u w:val="single"/>
        </w:rPr>
      </w:pPr>
    </w:p>
    <w:p w:rsidR="00997078" w:rsidRDefault="00997078" w:rsidP="00370099">
      <w:pPr>
        <w:rPr>
          <w:color w:val="1F497D" w:themeColor="text2"/>
          <w:sz w:val="24"/>
          <w:szCs w:val="24"/>
          <w:u w:val="single"/>
        </w:rPr>
      </w:pPr>
    </w:p>
    <w:p w:rsidR="00B6741F" w:rsidRPr="00F535C6" w:rsidRDefault="00EB373D" w:rsidP="00370099">
      <w:pPr>
        <w:rPr>
          <w:color w:val="1F497D" w:themeColor="text2"/>
        </w:rPr>
      </w:pPr>
      <w:r w:rsidRPr="00F535C6">
        <w:rPr>
          <w:color w:val="1F497D" w:themeColor="text2"/>
          <w:sz w:val="24"/>
          <w:szCs w:val="24"/>
        </w:rPr>
        <w:lastRenderedPageBreak/>
        <w:t>Ann Marie’</w:t>
      </w:r>
      <w:r w:rsidR="00370099" w:rsidRPr="00F535C6">
        <w:rPr>
          <w:color w:val="1F497D" w:themeColor="text2"/>
          <w:sz w:val="24"/>
          <w:szCs w:val="24"/>
        </w:rPr>
        <w:t xml:space="preserve">s comments </w:t>
      </w:r>
      <w:r w:rsidR="00A96328" w:rsidRPr="00F535C6">
        <w:rPr>
          <w:color w:val="1F497D" w:themeColor="text2"/>
          <w:sz w:val="24"/>
          <w:szCs w:val="24"/>
        </w:rPr>
        <w:t>regarding Dr</w:t>
      </w:r>
      <w:r w:rsidR="00F535C6">
        <w:rPr>
          <w:color w:val="1F497D" w:themeColor="text2"/>
          <w:sz w:val="24"/>
          <w:szCs w:val="24"/>
        </w:rPr>
        <w:t>. Jones’</w:t>
      </w:r>
      <w:r w:rsidR="00370099" w:rsidRPr="00F535C6">
        <w:rPr>
          <w:color w:val="1F497D" w:themeColor="text2"/>
          <w:sz w:val="24"/>
          <w:szCs w:val="24"/>
        </w:rPr>
        <w:t xml:space="preserve"> Appendix 9</w:t>
      </w:r>
      <w:r w:rsidR="00A96328" w:rsidRPr="00F535C6">
        <w:rPr>
          <w:color w:val="1F497D" w:themeColor="text2"/>
          <w:sz w:val="24"/>
          <w:szCs w:val="24"/>
        </w:rPr>
        <w:t>, which she discussed with him, are</w:t>
      </w:r>
      <w:r w:rsidRPr="00F535C6">
        <w:rPr>
          <w:color w:val="1F497D" w:themeColor="text2"/>
          <w:sz w:val="24"/>
          <w:szCs w:val="24"/>
        </w:rPr>
        <w:t xml:space="preserve"> shown below in </w:t>
      </w:r>
      <w:r w:rsidR="003D603A" w:rsidRPr="00F535C6">
        <w:rPr>
          <w:b/>
          <w:color w:val="C0504D" w:themeColor="accent2"/>
          <w:sz w:val="24"/>
          <w:szCs w:val="24"/>
        </w:rPr>
        <w:t>red font</w:t>
      </w:r>
      <w:r w:rsidR="003D603A" w:rsidRPr="00F535C6">
        <w:rPr>
          <w:color w:val="1F497D" w:themeColor="text2"/>
        </w:rPr>
        <w:t>.</w:t>
      </w:r>
      <w:r w:rsidRPr="00F535C6">
        <w:rPr>
          <w:color w:val="1F497D" w:themeColor="text2"/>
        </w:rPr>
        <w:t xml:space="preserve"> </w:t>
      </w:r>
    </w:p>
    <w:p w:rsidR="00B6741F" w:rsidRDefault="00B6741F" w:rsidP="00B6741F">
      <w:pPr>
        <w:pStyle w:val="Default"/>
        <w:jc w:val="center"/>
        <w:rPr>
          <w:b/>
          <w:bCs/>
          <w:sz w:val="20"/>
          <w:szCs w:val="20"/>
          <w:u w:val="single"/>
        </w:rPr>
      </w:pPr>
      <w:r>
        <w:rPr>
          <w:b/>
          <w:bCs/>
          <w:sz w:val="20"/>
          <w:szCs w:val="20"/>
          <w:u w:val="single"/>
        </w:rPr>
        <w:t>Example #2</w:t>
      </w:r>
    </w:p>
    <w:p w:rsidR="00B6741F" w:rsidRDefault="00B6741F" w:rsidP="00B6741F">
      <w:pPr>
        <w:pStyle w:val="Default"/>
        <w:jc w:val="center"/>
        <w:rPr>
          <w:sz w:val="20"/>
          <w:szCs w:val="20"/>
        </w:rPr>
      </w:pPr>
      <w:r>
        <w:rPr>
          <w:b/>
          <w:bCs/>
          <w:sz w:val="20"/>
          <w:szCs w:val="20"/>
        </w:rPr>
        <w:t>ACORP Appendix 9</w:t>
      </w:r>
    </w:p>
    <w:p w:rsidR="00B6741F" w:rsidRDefault="00B6741F" w:rsidP="00B6741F">
      <w:pPr>
        <w:pStyle w:val="Default"/>
        <w:jc w:val="center"/>
        <w:rPr>
          <w:b/>
          <w:bCs/>
          <w:i/>
          <w:iCs/>
          <w:sz w:val="20"/>
          <w:szCs w:val="20"/>
        </w:rPr>
      </w:pPr>
      <w:r>
        <w:rPr>
          <w:b/>
          <w:bCs/>
          <w:sz w:val="20"/>
          <w:szCs w:val="20"/>
        </w:rPr>
        <w:t xml:space="preserve">DEPARTURES FROM “MUST” AND “SHOULD” STANDARDS IN THE </w:t>
      </w:r>
      <w:r>
        <w:rPr>
          <w:b/>
          <w:bCs/>
          <w:i/>
          <w:iCs/>
          <w:sz w:val="20"/>
          <w:szCs w:val="20"/>
        </w:rPr>
        <w:t>GUIDE (2011)</w:t>
      </w:r>
    </w:p>
    <w:p w:rsidR="00B6741F" w:rsidRDefault="00B6741F" w:rsidP="00B6741F">
      <w:pPr>
        <w:pStyle w:val="Default"/>
        <w:jc w:val="center"/>
        <w:rPr>
          <w:sz w:val="20"/>
          <w:szCs w:val="20"/>
        </w:rPr>
      </w:pPr>
    </w:p>
    <w:p w:rsidR="00B6741F" w:rsidRDefault="00B6741F" w:rsidP="00B6741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For each IACUC-approved “departure” of this protocol from a “Must” or “Should” standard in the </w:t>
      </w:r>
      <w:r>
        <w:rPr>
          <w:rFonts w:ascii="Arial" w:hAnsi="Arial" w:cs="Arial"/>
          <w:i/>
          <w:iCs/>
          <w:sz w:val="20"/>
          <w:szCs w:val="20"/>
        </w:rPr>
        <w:t>Guide</w:t>
      </w:r>
      <w:r>
        <w:rPr>
          <w:rFonts w:ascii="Arial" w:hAnsi="Arial" w:cs="Arial"/>
          <w:sz w:val="20"/>
          <w:szCs w:val="20"/>
        </w:rPr>
        <w:t>, provide the following information. (Consult the IACUC or the Attending Veterinarian for help in determining whether any “departures” are involved.):</w:t>
      </w:r>
    </w:p>
    <w:p w:rsidR="00B6741F" w:rsidRDefault="00B6741F" w:rsidP="00B6741F">
      <w:pPr>
        <w:autoSpaceDE w:val="0"/>
        <w:autoSpaceDN w:val="0"/>
        <w:adjustRightInd w:val="0"/>
        <w:spacing w:after="0" w:line="240" w:lineRule="auto"/>
        <w:rPr>
          <w:rFonts w:ascii="Arial" w:hAnsi="Arial" w:cs="Arial"/>
          <w:sz w:val="20"/>
          <w:szCs w:val="20"/>
        </w:rPr>
      </w:pPr>
    </w:p>
    <w:p w:rsidR="00B6741F" w:rsidRDefault="00B6741F" w:rsidP="00B6741F">
      <w:pPr>
        <w:pStyle w:val="Default"/>
        <w:rPr>
          <w:sz w:val="20"/>
          <w:szCs w:val="20"/>
        </w:rPr>
      </w:pPr>
      <w:r>
        <w:rPr>
          <w:sz w:val="20"/>
          <w:szCs w:val="20"/>
        </w:rPr>
        <w:t xml:space="preserve">Copy the lines below for each departure. </w:t>
      </w:r>
    </w:p>
    <w:p w:rsidR="00986EE1" w:rsidRPr="00370099" w:rsidRDefault="00B6741F" w:rsidP="00370099">
      <w:pPr>
        <w:pStyle w:val="Default"/>
        <w:rPr>
          <w:i/>
          <w:iCs/>
          <w:sz w:val="20"/>
          <w:szCs w:val="20"/>
        </w:rPr>
      </w:pPr>
      <w:r>
        <w:rPr>
          <w:sz w:val="20"/>
          <w:szCs w:val="20"/>
        </w:rPr>
        <w:t xml:space="preserve">Briefly summarize the “Must” or “Should” standard, and provide the number(s) of the page(s) on which it appears in the </w:t>
      </w:r>
      <w:r>
        <w:rPr>
          <w:i/>
          <w:iCs/>
          <w:sz w:val="20"/>
          <w:szCs w:val="20"/>
        </w:rPr>
        <w:t xml:space="preserve">Guide. </w:t>
      </w:r>
    </w:p>
    <w:p w:rsidR="00B6741F" w:rsidRDefault="00B6741F" w:rsidP="00B6741F">
      <w:pPr>
        <w:pStyle w:val="Default"/>
        <w:rPr>
          <w:sz w:val="20"/>
          <w:szCs w:val="20"/>
        </w:rPr>
      </w:pPr>
    </w:p>
    <w:p w:rsidR="00B6741F" w:rsidRDefault="00B6741F" w:rsidP="00B6741F">
      <w:pPr>
        <w:pStyle w:val="Default"/>
        <w:rPr>
          <w:sz w:val="20"/>
          <w:szCs w:val="20"/>
        </w:rPr>
      </w:pPr>
      <w:r>
        <w:rPr>
          <w:b/>
          <w:bCs/>
          <w:sz w:val="20"/>
          <w:szCs w:val="20"/>
        </w:rPr>
        <w:t xml:space="preserve">► Euthanasia by Decapitation without anaesthesia: </w:t>
      </w:r>
    </w:p>
    <w:p w:rsidR="00B6741F" w:rsidRDefault="00B6741F" w:rsidP="00B6741F">
      <w:pPr>
        <w:pStyle w:val="Default"/>
        <w:rPr>
          <w:sz w:val="20"/>
          <w:szCs w:val="20"/>
        </w:rPr>
      </w:pPr>
      <w:r>
        <w:rPr>
          <w:b/>
          <w:bCs/>
          <w:sz w:val="20"/>
          <w:szCs w:val="20"/>
        </w:rPr>
        <w:t xml:space="preserve">AVMA Guidelines (2013) </w:t>
      </w:r>
      <w:r w:rsidRPr="00986EE1">
        <w:rPr>
          <w:b/>
          <w:bCs/>
          <w:sz w:val="20"/>
          <w:szCs w:val="20"/>
        </w:rPr>
        <w:t>Page 61,</w:t>
      </w:r>
      <w:r>
        <w:rPr>
          <w:b/>
          <w:bCs/>
          <w:sz w:val="20"/>
          <w:szCs w:val="20"/>
        </w:rPr>
        <w:t xml:space="preserve"> Section S2.2.2.3: Small Lab Animals (Rats), Acceptable with Conditions Methods, Physical methods, Decapitation </w:t>
      </w:r>
    </w:p>
    <w:p w:rsidR="00B6741F" w:rsidRDefault="00B6741F" w:rsidP="00B6741F">
      <w:pPr>
        <w:autoSpaceDE w:val="0"/>
        <w:autoSpaceDN w:val="0"/>
        <w:adjustRightInd w:val="0"/>
        <w:spacing w:after="0" w:line="240" w:lineRule="auto"/>
        <w:rPr>
          <w:rFonts w:ascii="Arial" w:hAnsi="Arial" w:cs="Arial"/>
          <w:sz w:val="20"/>
          <w:szCs w:val="20"/>
        </w:rPr>
      </w:pPr>
      <w:r>
        <w:rPr>
          <w:rFonts w:ascii="Arial" w:hAnsi="Arial" w:cs="Arial"/>
          <w:b/>
          <w:bCs/>
          <w:sz w:val="20"/>
          <w:szCs w:val="20"/>
        </w:rPr>
        <w:t>“Decapitation is used in lab settings because it yields tissues uncontaminated by chemical agents. Loss of cortical function is rapid and occurs within 5-30 seconds. ”</w:t>
      </w:r>
    </w:p>
    <w:p w:rsidR="009A3C34" w:rsidRDefault="009A3C34" w:rsidP="00370099">
      <w:pPr>
        <w:pStyle w:val="ListParagraph"/>
        <w:numPr>
          <w:ilvl w:val="0"/>
          <w:numId w:val="5"/>
        </w:numPr>
        <w:autoSpaceDE w:val="0"/>
        <w:autoSpaceDN w:val="0"/>
        <w:adjustRightInd w:val="0"/>
        <w:spacing w:after="0" w:line="240" w:lineRule="auto"/>
        <w:rPr>
          <w:rFonts w:ascii="Arial" w:hAnsi="Arial" w:cs="Arial"/>
          <w:b/>
          <w:i/>
          <w:color w:val="C0504D" w:themeColor="accent2"/>
          <w:sz w:val="20"/>
          <w:szCs w:val="20"/>
        </w:rPr>
      </w:pPr>
      <w:r w:rsidRPr="00370099">
        <w:rPr>
          <w:rFonts w:ascii="Arial" w:hAnsi="Arial" w:cs="Arial"/>
          <w:b/>
          <w:color w:val="C0504D" w:themeColor="accent2"/>
          <w:sz w:val="20"/>
          <w:szCs w:val="20"/>
        </w:rPr>
        <w:t xml:space="preserve">The above is a quotation from the </w:t>
      </w:r>
      <w:r w:rsidRPr="00370099">
        <w:rPr>
          <w:rFonts w:ascii="Arial" w:hAnsi="Arial" w:cs="Arial"/>
          <w:b/>
          <w:i/>
          <w:color w:val="C0504D" w:themeColor="accent2"/>
          <w:sz w:val="20"/>
          <w:szCs w:val="20"/>
        </w:rPr>
        <w:t>AVMA Guidelines for the Euthanasia of Animals: 2013 Edition</w:t>
      </w:r>
      <w:r w:rsidRPr="00370099">
        <w:rPr>
          <w:rFonts w:ascii="Arial" w:hAnsi="Arial" w:cs="Arial"/>
          <w:b/>
          <w:color w:val="C0504D" w:themeColor="accent2"/>
          <w:sz w:val="20"/>
          <w:szCs w:val="20"/>
        </w:rPr>
        <w:t xml:space="preserve"> not the </w:t>
      </w:r>
      <w:r w:rsidRPr="00370099">
        <w:rPr>
          <w:rFonts w:ascii="Arial" w:hAnsi="Arial" w:cs="Arial"/>
          <w:b/>
          <w:i/>
          <w:color w:val="C0504D" w:themeColor="accent2"/>
          <w:sz w:val="20"/>
          <w:szCs w:val="20"/>
        </w:rPr>
        <w:t xml:space="preserve">Guide. </w:t>
      </w:r>
      <w:r w:rsidR="00986EE1" w:rsidRPr="00370099">
        <w:rPr>
          <w:rFonts w:ascii="Arial" w:hAnsi="Arial" w:cs="Arial"/>
          <w:b/>
          <w:i/>
          <w:color w:val="C0504D" w:themeColor="accent2"/>
          <w:sz w:val="20"/>
          <w:szCs w:val="20"/>
        </w:rPr>
        <w:t xml:space="preserve"> </w:t>
      </w:r>
    </w:p>
    <w:p w:rsidR="00986EE1" w:rsidRPr="00370099" w:rsidRDefault="00986EE1" w:rsidP="00370099">
      <w:pPr>
        <w:pStyle w:val="ListParagraph"/>
        <w:numPr>
          <w:ilvl w:val="0"/>
          <w:numId w:val="5"/>
        </w:numPr>
        <w:autoSpaceDE w:val="0"/>
        <w:autoSpaceDN w:val="0"/>
        <w:adjustRightInd w:val="0"/>
        <w:spacing w:after="0" w:line="240" w:lineRule="auto"/>
        <w:rPr>
          <w:rFonts w:ascii="Arial" w:hAnsi="Arial" w:cs="Arial"/>
          <w:b/>
          <w:i/>
          <w:color w:val="C0504D" w:themeColor="accent2"/>
          <w:sz w:val="20"/>
          <w:szCs w:val="20"/>
        </w:rPr>
      </w:pPr>
      <w:r w:rsidRPr="00370099">
        <w:rPr>
          <w:rFonts w:ascii="Arial" w:hAnsi="Arial" w:cs="Arial"/>
          <w:b/>
          <w:color w:val="C0504D" w:themeColor="accent2"/>
          <w:sz w:val="20"/>
          <w:szCs w:val="20"/>
        </w:rPr>
        <w:t xml:space="preserve">The </w:t>
      </w:r>
      <w:r w:rsidR="00E418BA">
        <w:rPr>
          <w:rFonts w:ascii="Arial" w:hAnsi="Arial" w:cs="Arial"/>
          <w:b/>
          <w:color w:val="C0504D" w:themeColor="accent2"/>
          <w:sz w:val="20"/>
          <w:szCs w:val="20"/>
        </w:rPr>
        <w:t>AVMA Guidelines</w:t>
      </w:r>
      <w:r w:rsidR="00A81BB6">
        <w:rPr>
          <w:rFonts w:ascii="Arial" w:hAnsi="Arial" w:cs="Arial"/>
          <w:b/>
          <w:color w:val="C0504D" w:themeColor="accent2"/>
          <w:sz w:val="20"/>
          <w:szCs w:val="20"/>
        </w:rPr>
        <w:t>’</w:t>
      </w:r>
      <w:r w:rsidR="00E418BA">
        <w:rPr>
          <w:rFonts w:ascii="Arial" w:hAnsi="Arial" w:cs="Arial"/>
          <w:b/>
          <w:color w:val="C0504D" w:themeColor="accent2"/>
          <w:sz w:val="20"/>
          <w:szCs w:val="20"/>
        </w:rPr>
        <w:t xml:space="preserve"> </w:t>
      </w:r>
      <w:r w:rsidRPr="00370099">
        <w:rPr>
          <w:rFonts w:ascii="Arial" w:hAnsi="Arial" w:cs="Arial"/>
          <w:b/>
          <w:color w:val="C0504D" w:themeColor="accent2"/>
          <w:sz w:val="20"/>
          <w:szCs w:val="20"/>
        </w:rPr>
        <w:t>page number referenced is incorrect; the page number should be 49.</w:t>
      </w:r>
    </w:p>
    <w:p w:rsidR="009A3C34" w:rsidRPr="00370099" w:rsidRDefault="00F535C6" w:rsidP="00370099">
      <w:pPr>
        <w:pStyle w:val="ListParagraph"/>
        <w:numPr>
          <w:ilvl w:val="0"/>
          <w:numId w:val="5"/>
        </w:numPr>
        <w:autoSpaceDE w:val="0"/>
        <w:autoSpaceDN w:val="0"/>
        <w:adjustRightInd w:val="0"/>
        <w:spacing w:after="0" w:line="240" w:lineRule="auto"/>
        <w:rPr>
          <w:rFonts w:ascii="Arial" w:hAnsi="Arial" w:cs="Arial"/>
          <w:b/>
          <w:i/>
          <w:color w:val="C0504D" w:themeColor="accent2"/>
          <w:sz w:val="20"/>
          <w:szCs w:val="20"/>
        </w:rPr>
      </w:pPr>
      <w:r>
        <w:rPr>
          <w:rFonts w:ascii="Arial" w:hAnsi="Arial" w:cs="Arial"/>
          <w:b/>
          <w:color w:val="C0504D" w:themeColor="accent2"/>
          <w:sz w:val="20"/>
          <w:szCs w:val="20"/>
        </w:rPr>
        <w:t>T</w:t>
      </w:r>
      <w:r w:rsidR="009A3C34" w:rsidRPr="00370099">
        <w:rPr>
          <w:rFonts w:ascii="Arial" w:hAnsi="Arial" w:cs="Arial"/>
          <w:b/>
          <w:color w:val="C0504D" w:themeColor="accent2"/>
          <w:sz w:val="20"/>
          <w:szCs w:val="20"/>
        </w:rPr>
        <w:t xml:space="preserve">he </w:t>
      </w:r>
      <w:r>
        <w:rPr>
          <w:rFonts w:ascii="Arial" w:hAnsi="Arial" w:cs="Arial"/>
          <w:b/>
          <w:color w:val="C0504D" w:themeColor="accent2"/>
          <w:sz w:val="20"/>
          <w:szCs w:val="20"/>
        </w:rPr>
        <w:t xml:space="preserve"> applicable text from the </w:t>
      </w:r>
      <w:r w:rsidR="009A3C34" w:rsidRPr="00370099">
        <w:rPr>
          <w:rFonts w:ascii="Arial" w:hAnsi="Arial" w:cs="Arial"/>
          <w:b/>
          <w:i/>
          <w:color w:val="C0504D" w:themeColor="accent2"/>
          <w:sz w:val="20"/>
          <w:szCs w:val="20"/>
        </w:rPr>
        <w:t>Guide</w:t>
      </w:r>
      <w:r>
        <w:rPr>
          <w:rFonts w:ascii="Arial" w:hAnsi="Arial" w:cs="Arial"/>
          <w:b/>
          <w:i/>
          <w:color w:val="C0504D" w:themeColor="accent2"/>
          <w:sz w:val="20"/>
          <w:szCs w:val="20"/>
        </w:rPr>
        <w:t xml:space="preserve"> is shown below</w:t>
      </w:r>
      <w:r w:rsidR="009A3C34" w:rsidRPr="00370099">
        <w:rPr>
          <w:rFonts w:ascii="Arial" w:hAnsi="Arial" w:cs="Arial"/>
          <w:b/>
          <w:i/>
          <w:color w:val="C0504D" w:themeColor="accent2"/>
          <w:sz w:val="20"/>
          <w:szCs w:val="20"/>
        </w:rPr>
        <w:t>:</w:t>
      </w:r>
    </w:p>
    <w:p w:rsidR="009A3C34" w:rsidRPr="002928E4" w:rsidRDefault="009A3C34" w:rsidP="009A3C34">
      <w:pPr>
        <w:autoSpaceDE w:val="0"/>
        <w:autoSpaceDN w:val="0"/>
        <w:adjustRightInd w:val="0"/>
        <w:spacing w:after="0" w:line="240" w:lineRule="auto"/>
        <w:ind w:left="720"/>
        <w:rPr>
          <w:rFonts w:ascii="Arial" w:hAnsi="Arial" w:cs="Arial"/>
          <w:b/>
          <w:color w:val="C0504D" w:themeColor="accent2"/>
          <w:sz w:val="20"/>
          <w:szCs w:val="20"/>
        </w:rPr>
      </w:pPr>
      <w:r w:rsidRPr="002928E4">
        <w:rPr>
          <w:rFonts w:ascii="Arial" w:hAnsi="Arial" w:cs="Arial"/>
          <w:b/>
          <w:i/>
          <w:color w:val="C0504D" w:themeColor="accent2"/>
          <w:sz w:val="20"/>
          <w:szCs w:val="20"/>
        </w:rPr>
        <w:t>“</w:t>
      </w:r>
      <w:r w:rsidRPr="00F535C6">
        <w:rPr>
          <w:rFonts w:ascii="Arial" w:hAnsi="Arial" w:cs="Arial"/>
          <w:b/>
          <w:i/>
          <w:color w:val="C0504D" w:themeColor="accent2"/>
          <w:sz w:val="20"/>
          <w:szCs w:val="20"/>
        </w:rPr>
        <w:t>Euthanasia</w:t>
      </w:r>
      <w:r w:rsidRPr="002928E4">
        <w:rPr>
          <w:rFonts w:ascii="Arial" w:hAnsi="Arial" w:cs="Arial"/>
          <w:b/>
          <w:color w:val="C0504D" w:themeColor="accent2"/>
          <w:sz w:val="20"/>
          <w:szCs w:val="20"/>
        </w:rPr>
        <w:t xml:space="preserve"> is the act of humanely killing animals by methods that induce rapid unconsciousness and death without pain or distress.  Unless a deviation is justified for scientific or medical reasons, methods should be consistent with the</w:t>
      </w:r>
      <w:r w:rsidRPr="002928E4">
        <w:rPr>
          <w:rFonts w:ascii="Arial" w:hAnsi="Arial" w:cs="Arial"/>
          <w:b/>
          <w:i/>
          <w:color w:val="C0504D" w:themeColor="accent2"/>
          <w:sz w:val="20"/>
          <w:szCs w:val="20"/>
        </w:rPr>
        <w:t xml:space="preserve"> AVMA Guidelines on Euthanasia (</w:t>
      </w:r>
      <w:r w:rsidRPr="00F535C6">
        <w:rPr>
          <w:rFonts w:ascii="Arial" w:hAnsi="Arial" w:cs="Arial"/>
          <w:b/>
          <w:color w:val="C0504D" w:themeColor="accent2"/>
          <w:sz w:val="20"/>
          <w:szCs w:val="20"/>
        </w:rPr>
        <w:t>AVMA 2007 or later editions</w:t>
      </w:r>
      <w:r w:rsidRPr="002928E4">
        <w:rPr>
          <w:rFonts w:ascii="Arial" w:hAnsi="Arial" w:cs="Arial"/>
          <w:b/>
          <w:i/>
          <w:color w:val="C0504D" w:themeColor="accent2"/>
          <w:sz w:val="20"/>
          <w:szCs w:val="20"/>
        </w:rPr>
        <w:t xml:space="preserve">).” </w:t>
      </w:r>
      <w:r w:rsidRPr="002928E4">
        <w:rPr>
          <w:rFonts w:ascii="Arial" w:hAnsi="Arial" w:cs="Arial"/>
          <w:b/>
          <w:color w:val="C0504D" w:themeColor="accent2"/>
          <w:sz w:val="20"/>
          <w:szCs w:val="20"/>
        </w:rPr>
        <w:t>Page 123</w:t>
      </w:r>
    </w:p>
    <w:p w:rsidR="00B6741F" w:rsidRDefault="00B6741F" w:rsidP="00B6741F">
      <w:pPr>
        <w:autoSpaceDE w:val="0"/>
        <w:autoSpaceDN w:val="0"/>
        <w:adjustRightInd w:val="0"/>
        <w:spacing w:after="0" w:line="240" w:lineRule="auto"/>
        <w:rPr>
          <w:rFonts w:ascii="Arial" w:hAnsi="Arial" w:cs="Arial"/>
          <w:sz w:val="20"/>
          <w:szCs w:val="20"/>
        </w:rPr>
      </w:pPr>
    </w:p>
    <w:p w:rsidR="00B6741F" w:rsidRDefault="00B6741F" w:rsidP="00B6741F">
      <w:pPr>
        <w:pStyle w:val="Default"/>
        <w:rPr>
          <w:sz w:val="20"/>
          <w:szCs w:val="20"/>
        </w:rPr>
      </w:pPr>
      <w:r>
        <w:rPr>
          <w:sz w:val="20"/>
          <w:szCs w:val="20"/>
        </w:rPr>
        <w:t xml:space="preserve">Describe the specific alternate standard(s) that will be met on this protocol, and how they will be monitored. </w:t>
      </w:r>
    </w:p>
    <w:p w:rsidR="00B6741F" w:rsidRDefault="00B6741F" w:rsidP="00B6741F">
      <w:pPr>
        <w:pStyle w:val="Default"/>
        <w:rPr>
          <w:sz w:val="20"/>
          <w:szCs w:val="20"/>
        </w:rPr>
      </w:pPr>
      <w:r>
        <w:rPr>
          <w:sz w:val="20"/>
          <w:szCs w:val="20"/>
        </w:rPr>
        <w:t xml:space="preserve">► </w:t>
      </w:r>
      <w:r>
        <w:rPr>
          <w:b/>
          <w:bCs/>
          <w:sz w:val="20"/>
          <w:szCs w:val="20"/>
        </w:rPr>
        <w:t xml:space="preserve">Decapitation is acceptable with conditions for rodents: </w:t>
      </w:r>
    </w:p>
    <w:p w:rsidR="00B6741F" w:rsidRDefault="00B6741F" w:rsidP="00B6741F">
      <w:pPr>
        <w:pStyle w:val="Default"/>
        <w:spacing w:after="36"/>
        <w:rPr>
          <w:sz w:val="20"/>
          <w:szCs w:val="20"/>
        </w:rPr>
      </w:pPr>
      <w:r>
        <w:rPr>
          <w:b/>
          <w:bCs/>
          <w:sz w:val="20"/>
          <w:szCs w:val="20"/>
        </w:rPr>
        <w:t xml:space="preserve">1. Use of a specialized rat guillotine, maintained in good condition with sharp blades. </w:t>
      </w:r>
    </w:p>
    <w:p w:rsidR="00B6741F" w:rsidRDefault="00B6741F" w:rsidP="00B6741F">
      <w:pPr>
        <w:pStyle w:val="Default"/>
        <w:spacing w:after="36"/>
        <w:rPr>
          <w:sz w:val="20"/>
          <w:szCs w:val="20"/>
        </w:rPr>
      </w:pPr>
      <w:r>
        <w:rPr>
          <w:b/>
          <w:bCs/>
          <w:sz w:val="20"/>
          <w:szCs w:val="20"/>
        </w:rPr>
        <w:t xml:space="preserve">2. Personnel will be or have been trained on anaesthetized and/or dead animals to demonstrate proficiency. Only trained personnel are allowed to euthanize animals on this protocol. </w:t>
      </w:r>
    </w:p>
    <w:p w:rsidR="00B6741F" w:rsidRDefault="00B6741F" w:rsidP="00B6741F">
      <w:pPr>
        <w:pStyle w:val="Default"/>
        <w:rPr>
          <w:sz w:val="20"/>
          <w:szCs w:val="20"/>
        </w:rPr>
      </w:pPr>
      <w:r>
        <w:rPr>
          <w:b/>
          <w:bCs/>
          <w:sz w:val="20"/>
          <w:szCs w:val="20"/>
        </w:rPr>
        <w:t xml:space="preserve">3. We will use restraints (Decapicones, transparent plastic cones open at the end) to prevent excess moving around of rats just prior to decapitation, which allows the procedure to be done quickly and reduce unnecessary distress on the animals. </w:t>
      </w:r>
    </w:p>
    <w:p w:rsidR="009A3C34" w:rsidRDefault="009A3C34" w:rsidP="009A3C34">
      <w:pPr>
        <w:autoSpaceDE w:val="0"/>
        <w:autoSpaceDN w:val="0"/>
        <w:adjustRightInd w:val="0"/>
        <w:spacing w:after="0" w:line="240" w:lineRule="auto"/>
        <w:rPr>
          <w:rFonts w:ascii="Arial" w:hAnsi="Arial" w:cs="Arial"/>
          <w:sz w:val="28"/>
          <w:szCs w:val="28"/>
        </w:rPr>
      </w:pPr>
    </w:p>
    <w:p w:rsidR="009A3C34" w:rsidRPr="002928E4" w:rsidRDefault="00E418BA" w:rsidP="009A3C34">
      <w:pPr>
        <w:autoSpaceDE w:val="0"/>
        <w:autoSpaceDN w:val="0"/>
        <w:adjustRightInd w:val="0"/>
        <w:spacing w:after="0" w:line="240" w:lineRule="auto"/>
        <w:rPr>
          <w:rFonts w:ascii="Arial" w:hAnsi="Arial" w:cs="Arial"/>
          <w:b/>
          <w:color w:val="C0504D" w:themeColor="accent2"/>
          <w:sz w:val="20"/>
          <w:szCs w:val="20"/>
        </w:rPr>
      </w:pPr>
      <w:r>
        <w:rPr>
          <w:rFonts w:ascii="Arial" w:hAnsi="Arial" w:cs="Arial"/>
          <w:b/>
          <w:color w:val="C0504D" w:themeColor="accent2"/>
          <w:sz w:val="20"/>
          <w:szCs w:val="20"/>
        </w:rPr>
        <w:t xml:space="preserve">The </w:t>
      </w:r>
      <w:r w:rsidR="009A3C34" w:rsidRPr="002928E4">
        <w:rPr>
          <w:rFonts w:ascii="Arial" w:hAnsi="Arial" w:cs="Arial"/>
          <w:b/>
          <w:color w:val="C0504D" w:themeColor="accent2"/>
          <w:sz w:val="20"/>
          <w:szCs w:val="20"/>
        </w:rPr>
        <w:t xml:space="preserve">method of </w:t>
      </w:r>
      <w:r w:rsidR="00986EE1" w:rsidRPr="002928E4">
        <w:rPr>
          <w:rFonts w:ascii="Arial" w:hAnsi="Arial" w:cs="Arial"/>
          <w:b/>
          <w:color w:val="C0504D" w:themeColor="accent2"/>
          <w:sz w:val="20"/>
          <w:szCs w:val="20"/>
        </w:rPr>
        <w:t>euthanasia</w:t>
      </w:r>
      <w:r>
        <w:rPr>
          <w:rFonts w:ascii="Arial" w:hAnsi="Arial" w:cs="Arial"/>
          <w:b/>
          <w:color w:val="C0504D" w:themeColor="accent2"/>
          <w:sz w:val="20"/>
          <w:szCs w:val="20"/>
        </w:rPr>
        <w:t xml:space="preserve"> described above</w:t>
      </w:r>
      <w:r w:rsidR="00986EE1" w:rsidRPr="002928E4">
        <w:rPr>
          <w:rFonts w:ascii="Arial" w:hAnsi="Arial" w:cs="Arial"/>
          <w:b/>
          <w:color w:val="C0504D" w:themeColor="accent2"/>
          <w:sz w:val="20"/>
          <w:szCs w:val="20"/>
        </w:rPr>
        <w:t xml:space="preserve"> </w:t>
      </w:r>
      <w:r>
        <w:rPr>
          <w:rFonts w:ascii="Arial" w:hAnsi="Arial" w:cs="Arial"/>
          <w:b/>
          <w:color w:val="C0504D" w:themeColor="accent2"/>
          <w:sz w:val="20"/>
          <w:szCs w:val="20"/>
        </w:rPr>
        <w:t xml:space="preserve">(decapitation - </w:t>
      </w:r>
      <w:r w:rsidR="00986EE1" w:rsidRPr="002928E4">
        <w:rPr>
          <w:rFonts w:ascii="Arial" w:hAnsi="Arial" w:cs="Arial"/>
          <w:b/>
          <w:color w:val="C0504D" w:themeColor="accent2"/>
          <w:sz w:val="20"/>
          <w:szCs w:val="20"/>
        </w:rPr>
        <w:t xml:space="preserve">acceptable </w:t>
      </w:r>
      <w:r>
        <w:rPr>
          <w:rFonts w:ascii="Arial" w:hAnsi="Arial" w:cs="Arial"/>
          <w:b/>
          <w:color w:val="C0504D" w:themeColor="accent2"/>
          <w:sz w:val="20"/>
          <w:szCs w:val="20"/>
        </w:rPr>
        <w:t>with conditions)</w:t>
      </w:r>
      <w:r w:rsidR="00986EE1" w:rsidRPr="002928E4">
        <w:rPr>
          <w:rFonts w:ascii="Arial" w:hAnsi="Arial" w:cs="Arial"/>
          <w:b/>
          <w:color w:val="C0504D" w:themeColor="accent2"/>
          <w:sz w:val="20"/>
          <w:szCs w:val="20"/>
        </w:rPr>
        <w:t xml:space="preserve"> adheres to the</w:t>
      </w:r>
      <w:r>
        <w:rPr>
          <w:rFonts w:ascii="Arial" w:hAnsi="Arial" w:cs="Arial"/>
          <w:b/>
          <w:color w:val="C0504D" w:themeColor="accent2"/>
          <w:sz w:val="20"/>
          <w:szCs w:val="20"/>
        </w:rPr>
        <w:t xml:space="preserve"> recommendations</w:t>
      </w:r>
      <w:r w:rsidR="00986EE1" w:rsidRPr="002928E4">
        <w:rPr>
          <w:rFonts w:ascii="Arial" w:hAnsi="Arial" w:cs="Arial"/>
          <w:b/>
          <w:color w:val="C0504D" w:themeColor="accent2"/>
          <w:sz w:val="20"/>
          <w:szCs w:val="20"/>
        </w:rPr>
        <w:t xml:space="preserve"> listed in the </w:t>
      </w:r>
      <w:r w:rsidR="00986EE1" w:rsidRPr="002928E4">
        <w:rPr>
          <w:rFonts w:ascii="Arial" w:hAnsi="Arial" w:cs="Arial"/>
          <w:b/>
          <w:i/>
          <w:color w:val="C0504D" w:themeColor="accent2"/>
          <w:sz w:val="20"/>
          <w:szCs w:val="20"/>
        </w:rPr>
        <w:t>AVMA Guidelines for the Euthanasia of Animals: 2013 Edition</w:t>
      </w:r>
      <w:r w:rsidR="00986EE1" w:rsidRPr="002928E4">
        <w:rPr>
          <w:rFonts w:ascii="Arial" w:hAnsi="Arial" w:cs="Arial"/>
          <w:b/>
          <w:color w:val="C0504D" w:themeColor="accent2"/>
          <w:sz w:val="20"/>
          <w:szCs w:val="20"/>
        </w:rPr>
        <w:t>.</w:t>
      </w:r>
    </w:p>
    <w:p w:rsidR="00B6741F" w:rsidRDefault="00B6741F" w:rsidP="00B6741F">
      <w:pPr>
        <w:autoSpaceDE w:val="0"/>
        <w:autoSpaceDN w:val="0"/>
        <w:adjustRightInd w:val="0"/>
        <w:spacing w:after="0" w:line="240" w:lineRule="auto"/>
        <w:rPr>
          <w:rFonts w:ascii="Arial" w:hAnsi="Arial" w:cs="Arial"/>
          <w:sz w:val="20"/>
          <w:szCs w:val="20"/>
        </w:rPr>
      </w:pPr>
    </w:p>
    <w:p w:rsidR="00B6741F" w:rsidRDefault="00B6741F" w:rsidP="00B6741F">
      <w:pPr>
        <w:pStyle w:val="Default"/>
        <w:rPr>
          <w:sz w:val="20"/>
          <w:szCs w:val="20"/>
        </w:rPr>
      </w:pPr>
      <w:r>
        <w:rPr>
          <w:sz w:val="20"/>
          <w:szCs w:val="20"/>
        </w:rPr>
        <w:t xml:space="preserve">Provide the scientific, veterinary medical or animal welfare considerations that justify this departure </w:t>
      </w:r>
    </w:p>
    <w:p w:rsidR="00B6741F" w:rsidRDefault="00B6741F" w:rsidP="00B6741F">
      <w:pPr>
        <w:pStyle w:val="Default"/>
        <w:rPr>
          <w:color w:val="auto"/>
          <w:sz w:val="20"/>
          <w:szCs w:val="20"/>
        </w:rPr>
      </w:pPr>
    </w:p>
    <w:p w:rsidR="00B6741F" w:rsidRDefault="00B6741F" w:rsidP="00B6741F">
      <w:pPr>
        <w:pStyle w:val="Default"/>
        <w:rPr>
          <w:sz w:val="20"/>
          <w:szCs w:val="20"/>
        </w:rPr>
      </w:pPr>
      <w:r>
        <w:rPr>
          <w:b/>
          <w:bCs/>
          <w:sz w:val="20"/>
          <w:szCs w:val="20"/>
        </w:rPr>
        <w:t xml:space="preserve">►In this study, we plan to determine post-mortem levels of monoamines (serotonin and dopamine) and monoamine receptor levels in brain regions involved in depression. Inhalant agents and barbiturates are documented to alter monoamine transporter function (el-Maghrabiand Eckenhoff., 1993; Fink-Jensen et al., 1994; Mantz et al., 1994) and would prevent accurate measurement of rat brain monoamines in our study. A physical method of euthanasia without sedation is therefore necessary in this study. </w:t>
      </w:r>
      <w:r w:rsidR="009A3C34">
        <w:rPr>
          <w:b/>
          <w:bCs/>
          <w:sz w:val="20"/>
          <w:szCs w:val="20"/>
        </w:rPr>
        <w:t xml:space="preserve">  </w:t>
      </w:r>
    </w:p>
    <w:p w:rsidR="00B6741F" w:rsidRDefault="00B6741F" w:rsidP="00B6741F">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Description: Decapicones (tapered plastic tubes, Braintree Scientific Inc.) will be used to restrain rats prior to live decapitation using a guillotine, a process that is quick and relatively stress-free for the animals. The guillotine is cleaned with soap and water immediately after each use and </w:t>
      </w:r>
      <w:r>
        <w:rPr>
          <w:rFonts w:ascii="Arial" w:hAnsi="Arial" w:cs="Arial"/>
          <w:b/>
          <w:bCs/>
          <w:sz w:val="20"/>
          <w:szCs w:val="20"/>
        </w:rPr>
        <w:lastRenderedPageBreak/>
        <w:t>rinsed with 70% ethanol prior to use again. The guillotine is maintained with a sharp blade to provide instant decapitation.</w:t>
      </w:r>
    </w:p>
    <w:p w:rsidR="00B6741F" w:rsidRDefault="00B6741F" w:rsidP="00B6741F">
      <w:pPr>
        <w:autoSpaceDE w:val="0"/>
        <w:autoSpaceDN w:val="0"/>
        <w:adjustRightInd w:val="0"/>
        <w:spacing w:after="0" w:line="240" w:lineRule="auto"/>
        <w:rPr>
          <w:rFonts w:ascii="Arial" w:hAnsi="Arial" w:cs="Arial"/>
          <w:color w:val="000000"/>
          <w:sz w:val="16"/>
          <w:szCs w:val="16"/>
        </w:rPr>
      </w:pPr>
    </w:p>
    <w:p w:rsidR="00B6741F" w:rsidRDefault="00B6741F" w:rsidP="00B6741F">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b/>
          <w:bCs/>
          <w:color w:val="000000"/>
          <w:sz w:val="16"/>
          <w:szCs w:val="16"/>
        </w:rPr>
        <w:t xml:space="preserve">El-Maghrabi, EA, and RG Eckenhoff (1993) Inhibition of dopaminergic transport in rat brain synaptosomes by volatile anesthetics. Anesthesiology 78: 750. </w:t>
      </w:r>
    </w:p>
    <w:p w:rsidR="00B6741F" w:rsidRDefault="00B6741F" w:rsidP="00B6741F">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b/>
          <w:bCs/>
          <w:color w:val="000000"/>
          <w:sz w:val="16"/>
          <w:szCs w:val="16"/>
        </w:rPr>
        <w:t xml:space="preserve">Fink-Jensen A, SH Ingwersen, PG Nielsen, L Hansen, EB Neilsen and AJ Hansen (1994) Halothane anesthesia enhances the effect of dopamine uptake inhibition on interstitial levels of striatal dopamine. N. Sch. Arch. Pharmacol. 350:239. </w:t>
      </w:r>
      <w:r>
        <w:rPr>
          <w:rFonts w:ascii="Arial" w:hAnsi="Arial" w:cs="Arial"/>
          <w:color w:val="000000"/>
          <w:sz w:val="16"/>
          <w:szCs w:val="16"/>
        </w:rPr>
        <w:t xml:space="preserve"> </w:t>
      </w:r>
    </w:p>
    <w:p w:rsidR="00B6741F" w:rsidRPr="00B6741F" w:rsidRDefault="00B6741F" w:rsidP="00B6741F">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Mantz, J., C Varlet, JB Lecharny, D Henzel, P Lenot and JM Desmonts (1994) Effects of volatile anesthetics, thiopental and ketamine on spontaneous and depolarization-evoked dopamine release from striatal synaptosomes in the rat. Anesthesiology 80: 352. </w:t>
      </w:r>
    </w:p>
    <w:p w:rsidR="00B6741F" w:rsidRDefault="00B6741F" w:rsidP="00B6741F">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r>
        <w:rPr>
          <w:rFonts w:ascii="Arial" w:hAnsi="Arial" w:cs="Arial"/>
          <w:b/>
          <w:bCs/>
          <w:color w:val="000000"/>
          <w:sz w:val="16"/>
          <w:szCs w:val="16"/>
        </w:rPr>
        <w:t xml:space="preserve">Fink-Jensen A, SH Ingwersen, PG Nielsen, L Hansen, EB Neilsen and AJ Hansen (1994) Halothane anesthesia enhances the effect of dopamine uptake inhibition on interstitial levels of striatal dopamine. N. Sch. Arch. Pharmacol. 350:239. </w:t>
      </w:r>
      <w:r>
        <w:rPr>
          <w:rFonts w:ascii="Arial" w:hAnsi="Arial" w:cs="Arial"/>
          <w:color w:val="000000"/>
          <w:sz w:val="16"/>
          <w:szCs w:val="16"/>
        </w:rPr>
        <w:t xml:space="preserve"> </w:t>
      </w:r>
    </w:p>
    <w:p w:rsidR="00B6741F" w:rsidRDefault="00B6741F" w:rsidP="00B6741F">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 xml:space="preserve">Mantz, J., C Varlet, JB Lecharny, D Henzel, P Lenot and JM Desmonts (1994) Effects of volatile anesthetics, thiopental and ketamine on spontaneous and depolarization-evoked dopamine release from striatal synaptosomes in the rat. Anesthesiology 80: 352. </w:t>
      </w:r>
    </w:p>
    <w:p w:rsidR="00B6741F" w:rsidRDefault="00B6741F" w:rsidP="00B6741F">
      <w:pPr>
        <w:autoSpaceDE w:val="0"/>
        <w:autoSpaceDN w:val="0"/>
        <w:adjustRightInd w:val="0"/>
        <w:spacing w:after="0" w:line="240" w:lineRule="auto"/>
        <w:rPr>
          <w:rFonts w:ascii="Arial" w:hAnsi="Arial" w:cs="Arial"/>
          <w:sz w:val="18"/>
          <w:szCs w:val="18"/>
        </w:rPr>
      </w:pPr>
    </w:p>
    <w:p w:rsidR="00B6741F" w:rsidRPr="00816C7B" w:rsidRDefault="00370099" w:rsidP="00816C7B">
      <w:pPr>
        <w:autoSpaceDE w:val="0"/>
        <w:autoSpaceDN w:val="0"/>
        <w:adjustRightInd w:val="0"/>
        <w:spacing w:after="0" w:line="240" w:lineRule="auto"/>
        <w:rPr>
          <w:rFonts w:ascii="Arial" w:hAnsi="Arial" w:cs="Arial"/>
          <w:b/>
          <w:color w:val="C0504D" w:themeColor="accent2"/>
          <w:sz w:val="20"/>
          <w:szCs w:val="20"/>
        </w:rPr>
      </w:pPr>
      <w:r>
        <w:rPr>
          <w:rFonts w:asciiTheme="minorHAnsi" w:hAnsiTheme="minorHAnsi"/>
          <w:bCs/>
          <w:noProof/>
          <w:color w:val="1F497D" w:themeColor="text2"/>
        </w:rPr>
        <w:drawing>
          <wp:anchor distT="0" distB="0" distL="114300" distR="114300" simplePos="0" relativeHeight="251660288" behindDoc="1" locked="0" layoutInCell="1" allowOverlap="1" wp14:anchorId="59D59B2B" wp14:editId="72AEAE77">
            <wp:simplePos x="0" y="0"/>
            <wp:positionH relativeFrom="column">
              <wp:posOffset>-838200</wp:posOffset>
            </wp:positionH>
            <wp:positionV relativeFrom="paragraph">
              <wp:posOffset>716915</wp:posOffset>
            </wp:positionV>
            <wp:extent cx="838200" cy="932815"/>
            <wp:effectExtent l="0" t="0" r="0" b="635"/>
            <wp:wrapTight wrapText="bothSides">
              <wp:wrapPolygon edited="0">
                <wp:start x="13745" y="0"/>
                <wp:lineTo x="8345" y="1323"/>
                <wp:lineTo x="491" y="5735"/>
                <wp:lineTo x="491" y="7499"/>
                <wp:lineTo x="3927" y="14116"/>
                <wp:lineTo x="2945" y="21174"/>
                <wp:lineTo x="14727" y="21174"/>
                <wp:lineTo x="14236" y="14116"/>
                <wp:lineTo x="18655" y="7058"/>
                <wp:lineTo x="19636" y="4852"/>
                <wp:lineTo x="18164" y="882"/>
                <wp:lineTo x="16200" y="0"/>
                <wp:lineTo x="13745" y="0"/>
              </wp:wrapPolygon>
            </wp:wrapTight>
            <wp:docPr id="6" name="Picture 6" descr="C:\Users\vhatvhrichej\AppData\Local\Microsoft\Windows\Temporary Internet Files\Content.IE5\6WVOL9JT\Pictofigo_-_Ide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atvhrichej\AppData\Local\Microsoft\Windows\Temporary Internet Files\Content.IE5\6WVOL9JT\Pictofigo_-_Idea[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86EE1" w:rsidRPr="002928E4">
        <w:rPr>
          <w:rFonts w:ascii="Arial" w:hAnsi="Arial" w:cs="Arial"/>
          <w:b/>
          <w:color w:val="C0504D" w:themeColor="accent2"/>
          <w:sz w:val="20"/>
          <w:szCs w:val="20"/>
        </w:rPr>
        <w:t>The</w:t>
      </w:r>
      <w:r w:rsidR="00B6741F" w:rsidRPr="002928E4">
        <w:rPr>
          <w:rFonts w:ascii="Arial" w:hAnsi="Arial" w:cs="Arial"/>
          <w:b/>
          <w:color w:val="C0504D" w:themeColor="accent2"/>
          <w:sz w:val="20"/>
          <w:szCs w:val="20"/>
        </w:rPr>
        <w:t xml:space="preserve"> </w:t>
      </w:r>
      <w:r w:rsidR="00B6741F" w:rsidRPr="002928E4">
        <w:rPr>
          <w:rFonts w:ascii="Arial" w:hAnsi="Arial" w:cs="Arial"/>
          <w:b/>
          <w:i/>
          <w:color w:val="C0504D" w:themeColor="accent2"/>
          <w:sz w:val="20"/>
          <w:szCs w:val="20"/>
        </w:rPr>
        <w:t>AVMA Guidelines for the Eutha</w:t>
      </w:r>
      <w:r w:rsidR="002928E4" w:rsidRPr="002928E4">
        <w:rPr>
          <w:rFonts w:ascii="Arial" w:hAnsi="Arial" w:cs="Arial"/>
          <w:b/>
          <w:i/>
          <w:color w:val="C0504D" w:themeColor="accent2"/>
          <w:sz w:val="20"/>
          <w:szCs w:val="20"/>
        </w:rPr>
        <w:t>nasia of Animals: 2013 Edition</w:t>
      </w:r>
      <w:r w:rsidR="002928E4" w:rsidRPr="002928E4">
        <w:rPr>
          <w:rFonts w:ascii="Arial" w:hAnsi="Arial" w:cs="Arial"/>
          <w:b/>
          <w:color w:val="C0504D" w:themeColor="accent2"/>
          <w:sz w:val="20"/>
          <w:szCs w:val="20"/>
        </w:rPr>
        <w:t xml:space="preserve"> state</w:t>
      </w:r>
      <w:r w:rsidR="002928E4" w:rsidRPr="002928E4">
        <w:rPr>
          <w:rFonts w:ascii="Arial" w:hAnsi="Arial" w:cs="Arial"/>
          <w:b/>
          <w:i/>
          <w:color w:val="C0504D" w:themeColor="accent2"/>
          <w:sz w:val="20"/>
          <w:szCs w:val="20"/>
        </w:rPr>
        <w:t xml:space="preserve"> </w:t>
      </w:r>
      <w:r w:rsidR="002928E4" w:rsidRPr="002928E4">
        <w:rPr>
          <w:rFonts w:ascii="Arial" w:hAnsi="Arial" w:cs="Arial"/>
          <w:b/>
          <w:color w:val="C0504D" w:themeColor="accent2"/>
          <w:sz w:val="20"/>
          <w:szCs w:val="20"/>
        </w:rPr>
        <w:t>“This method is acceptable with conditions if performed correctly and it may be used in research setting when its use is required by the experimental design and approved by the IACUC.” (Page 39) The investigator has provided a scientific justification for the use of decapitation and included supporting literature citations</w:t>
      </w:r>
      <w:r w:rsidR="00F535C6">
        <w:rPr>
          <w:rFonts w:ascii="Arial" w:hAnsi="Arial" w:cs="Arial"/>
          <w:b/>
          <w:color w:val="C0504D" w:themeColor="accent2"/>
          <w:sz w:val="20"/>
          <w:szCs w:val="20"/>
        </w:rPr>
        <w:t>, which were approved by the IACUC</w:t>
      </w:r>
      <w:r w:rsidR="002928E4" w:rsidRPr="002928E4">
        <w:rPr>
          <w:rFonts w:ascii="Arial" w:hAnsi="Arial" w:cs="Arial"/>
          <w:b/>
          <w:color w:val="C0504D" w:themeColor="accent2"/>
          <w:sz w:val="20"/>
          <w:szCs w:val="20"/>
        </w:rPr>
        <w:t xml:space="preserve">; </w:t>
      </w:r>
      <w:r w:rsidR="00B6741F" w:rsidRPr="002928E4">
        <w:rPr>
          <w:rFonts w:ascii="Arial" w:hAnsi="Arial" w:cs="Arial"/>
          <w:b/>
          <w:color w:val="C0504D" w:themeColor="accent2"/>
          <w:sz w:val="20"/>
          <w:szCs w:val="20"/>
        </w:rPr>
        <w:t xml:space="preserve">therefore, no deviation from the </w:t>
      </w:r>
      <w:r w:rsidR="002928E4" w:rsidRPr="002928E4">
        <w:rPr>
          <w:rFonts w:ascii="Arial" w:hAnsi="Arial" w:cs="Arial"/>
          <w:b/>
          <w:i/>
          <w:color w:val="C0504D" w:themeColor="accent2"/>
          <w:sz w:val="20"/>
          <w:szCs w:val="20"/>
        </w:rPr>
        <w:t xml:space="preserve">Guide </w:t>
      </w:r>
      <w:r w:rsidR="002928E4" w:rsidRPr="002928E4">
        <w:rPr>
          <w:rFonts w:ascii="Arial" w:hAnsi="Arial" w:cs="Arial"/>
          <w:b/>
          <w:color w:val="C0504D" w:themeColor="accent2"/>
          <w:sz w:val="20"/>
          <w:szCs w:val="20"/>
        </w:rPr>
        <w:t>has occurred.</w:t>
      </w:r>
      <w:r w:rsidR="00B6741F" w:rsidRPr="002928E4">
        <w:rPr>
          <w:rFonts w:ascii="Arial" w:hAnsi="Arial" w:cs="Arial"/>
          <w:b/>
          <w:color w:val="C0504D" w:themeColor="accent2"/>
          <w:sz w:val="20"/>
          <w:szCs w:val="20"/>
        </w:rPr>
        <w:t xml:space="preserve">  Appendix 9 is not applicable and should be deleted.</w:t>
      </w:r>
      <w:r w:rsidR="009A3C34" w:rsidRPr="002928E4">
        <w:rPr>
          <w:rFonts w:ascii="Arial" w:hAnsi="Arial" w:cs="Arial"/>
          <w:b/>
          <w:color w:val="C0504D" w:themeColor="accent2"/>
          <w:sz w:val="20"/>
          <w:szCs w:val="20"/>
        </w:rPr>
        <w:t xml:space="preserve">   </w:t>
      </w:r>
    </w:p>
    <w:p w:rsidR="002928E4" w:rsidRPr="00370099" w:rsidRDefault="002928E4" w:rsidP="00B6741F">
      <w:pPr>
        <w:pStyle w:val="Default"/>
        <w:jc w:val="center"/>
        <w:rPr>
          <w:rFonts w:asciiTheme="minorHAnsi" w:hAnsiTheme="minorHAnsi"/>
          <w:b/>
          <w:bCs/>
          <w:color w:val="1F497D" w:themeColor="text2"/>
          <w:u w:val="single"/>
        </w:rPr>
      </w:pPr>
    </w:p>
    <w:p w:rsidR="00B6741F" w:rsidRPr="00370099" w:rsidRDefault="00370099" w:rsidP="00816C7B">
      <w:pPr>
        <w:pStyle w:val="Default"/>
        <w:rPr>
          <w:rFonts w:asciiTheme="minorHAnsi" w:hAnsiTheme="minorHAnsi"/>
          <w:bCs/>
          <w:color w:val="1F497D" w:themeColor="text2"/>
        </w:rPr>
      </w:pPr>
      <w:r>
        <w:rPr>
          <w:rFonts w:asciiTheme="minorHAnsi" w:hAnsiTheme="minorHAnsi"/>
          <w:bCs/>
          <w:color w:val="1F497D" w:themeColor="text2"/>
        </w:rPr>
        <w:t>After a moment of reflection and referring to the VA Flowchart</w:t>
      </w:r>
      <w:r w:rsidR="00EB373D" w:rsidRPr="00370099">
        <w:rPr>
          <w:rFonts w:asciiTheme="minorHAnsi" w:hAnsiTheme="minorHAnsi"/>
          <w:bCs/>
          <w:color w:val="1F497D" w:themeColor="text2"/>
        </w:rPr>
        <w:t xml:space="preserve"> </w:t>
      </w:r>
      <w:r>
        <w:rPr>
          <w:rFonts w:asciiTheme="minorHAnsi" w:hAnsiTheme="minorHAnsi"/>
          <w:bCs/>
          <w:color w:val="1F497D" w:themeColor="text2"/>
        </w:rPr>
        <w:t xml:space="preserve">on page 3, </w:t>
      </w:r>
      <w:r w:rsidR="00EB373D" w:rsidRPr="00370099">
        <w:rPr>
          <w:rFonts w:asciiTheme="minorHAnsi" w:hAnsiTheme="minorHAnsi"/>
          <w:bCs/>
          <w:color w:val="1F497D" w:themeColor="text2"/>
        </w:rPr>
        <w:t>Dr. Jones</w:t>
      </w:r>
      <w:r w:rsidR="00816C7B" w:rsidRPr="00370099">
        <w:rPr>
          <w:rFonts w:asciiTheme="minorHAnsi" w:hAnsiTheme="minorHAnsi"/>
          <w:bCs/>
          <w:color w:val="1F497D" w:themeColor="text2"/>
        </w:rPr>
        <w:t xml:space="preserve">’ has </w:t>
      </w:r>
      <w:r w:rsidR="00EB373D" w:rsidRPr="00370099">
        <w:rPr>
          <w:rFonts w:asciiTheme="minorHAnsi" w:hAnsiTheme="minorHAnsi"/>
          <w:bCs/>
          <w:color w:val="1F497D" w:themeColor="text2"/>
        </w:rPr>
        <w:t xml:space="preserve">a </w:t>
      </w:r>
      <w:r w:rsidRPr="00370099">
        <w:rPr>
          <w:rFonts w:asciiTheme="minorHAnsi" w:hAnsiTheme="minorHAnsi"/>
          <w:bCs/>
          <w:color w:val="1F497D" w:themeColor="text2"/>
        </w:rPr>
        <w:t>revelation;</w:t>
      </w:r>
      <w:r w:rsidR="00EB373D" w:rsidRPr="00370099">
        <w:rPr>
          <w:rFonts w:asciiTheme="minorHAnsi" w:hAnsiTheme="minorHAnsi"/>
          <w:bCs/>
          <w:color w:val="1F497D" w:themeColor="text2"/>
        </w:rPr>
        <w:t xml:space="preserve"> </w:t>
      </w:r>
      <w:r w:rsidR="00816C7B" w:rsidRPr="00370099">
        <w:rPr>
          <w:rFonts w:asciiTheme="minorHAnsi" w:hAnsiTheme="minorHAnsi"/>
          <w:bCs/>
          <w:color w:val="1F497D" w:themeColor="text2"/>
        </w:rPr>
        <w:t>he thinks he</w:t>
      </w:r>
      <w:r w:rsidRPr="00370099">
        <w:rPr>
          <w:rFonts w:asciiTheme="minorHAnsi" w:hAnsiTheme="minorHAnsi"/>
          <w:bCs/>
          <w:color w:val="1F497D" w:themeColor="text2"/>
        </w:rPr>
        <w:t xml:space="preserve"> now</w:t>
      </w:r>
      <w:r w:rsidR="00816C7B" w:rsidRPr="00370099">
        <w:rPr>
          <w:rFonts w:asciiTheme="minorHAnsi" w:hAnsiTheme="minorHAnsi"/>
          <w:bCs/>
          <w:color w:val="1F497D" w:themeColor="text2"/>
        </w:rPr>
        <w:t xml:space="preserve"> know</w:t>
      </w:r>
      <w:r>
        <w:rPr>
          <w:rFonts w:asciiTheme="minorHAnsi" w:hAnsiTheme="minorHAnsi"/>
          <w:bCs/>
          <w:color w:val="1F497D" w:themeColor="text2"/>
        </w:rPr>
        <w:t>s</w:t>
      </w:r>
      <w:r w:rsidR="00816C7B" w:rsidRPr="00370099">
        <w:rPr>
          <w:rFonts w:asciiTheme="minorHAnsi" w:hAnsiTheme="minorHAnsi"/>
          <w:bCs/>
          <w:color w:val="1F497D" w:themeColor="text2"/>
        </w:rPr>
        <w:t xml:space="preserve"> </w:t>
      </w:r>
      <w:r w:rsidR="00DB1462" w:rsidRPr="00370099">
        <w:rPr>
          <w:rFonts w:asciiTheme="minorHAnsi" w:hAnsiTheme="minorHAnsi"/>
          <w:bCs/>
          <w:color w:val="1F497D" w:themeColor="text2"/>
        </w:rPr>
        <w:t xml:space="preserve">when not to complete an Appendix 9. </w:t>
      </w:r>
    </w:p>
    <w:tbl>
      <w:tblPr>
        <w:tblStyle w:val="TableGrid"/>
        <w:tblW w:w="0" w:type="auto"/>
        <w:tblLook w:val="04A0" w:firstRow="1" w:lastRow="0" w:firstColumn="1" w:lastColumn="0" w:noHBand="0" w:noVBand="1"/>
      </w:tblPr>
      <w:tblGrid>
        <w:gridCol w:w="3528"/>
        <w:gridCol w:w="1260"/>
        <w:gridCol w:w="4410"/>
      </w:tblGrid>
      <w:tr w:rsidR="00370099" w:rsidTr="00370099">
        <w:tc>
          <w:tcPr>
            <w:tcW w:w="3528" w:type="dxa"/>
          </w:tcPr>
          <w:p w:rsidR="004142EC" w:rsidRPr="00F535C6" w:rsidRDefault="00A96328">
            <w:pPr>
              <w:rPr>
                <w:b/>
              </w:rPr>
            </w:pPr>
            <w:r w:rsidRPr="00F535C6">
              <w:rPr>
                <w:b/>
              </w:rPr>
              <w:t>If I (Dr. Jones) propose</w:t>
            </w:r>
            <w:r w:rsidR="004142EC" w:rsidRPr="00F535C6">
              <w:rPr>
                <w:b/>
              </w:rPr>
              <w:t>:</w:t>
            </w:r>
          </w:p>
        </w:tc>
        <w:tc>
          <w:tcPr>
            <w:tcW w:w="1260" w:type="dxa"/>
          </w:tcPr>
          <w:p w:rsidR="004142EC" w:rsidRPr="00F535C6" w:rsidRDefault="004142EC">
            <w:pPr>
              <w:rPr>
                <w:b/>
              </w:rPr>
            </w:pPr>
            <w:r w:rsidRPr="00F535C6">
              <w:rPr>
                <w:b/>
              </w:rPr>
              <w:t>Appendix 9</w:t>
            </w:r>
            <w:r w:rsidR="00A96328" w:rsidRPr="00F535C6">
              <w:rPr>
                <w:b/>
              </w:rPr>
              <w:t xml:space="preserve"> </w:t>
            </w:r>
          </w:p>
        </w:tc>
        <w:tc>
          <w:tcPr>
            <w:tcW w:w="4410" w:type="dxa"/>
          </w:tcPr>
          <w:p w:rsidR="004142EC" w:rsidRPr="00F535C6" w:rsidRDefault="004142EC">
            <w:pPr>
              <w:rPr>
                <w:b/>
              </w:rPr>
            </w:pPr>
            <w:r w:rsidRPr="00F535C6">
              <w:rPr>
                <w:b/>
              </w:rPr>
              <w:t>Rationale</w:t>
            </w:r>
          </w:p>
        </w:tc>
      </w:tr>
      <w:tr w:rsidR="00370099" w:rsidTr="00370099">
        <w:tc>
          <w:tcPr>
            <w:tcW w:w="3528" w:type="dxa"/>
          </w:tcPr>
          <w:p w:rsidR="004142EC" w:rsidRDefault="004142EC">
            <w:r>
              <w:t xml:space="preserve">to perform decapitation without anesthesia on mice, </w:t>
            </w:r>
            <w:r w:rsidR="00A96328">
              <w:t>and meet</w:t>
            </w:r>
            <w:r>
              <w:t xml:space="preserve"> all the criteria </w:t>
            </w:r>
            <w:r w:rsidR="00997078">
              <w:t>for this</w:t>
            </w:r>
            <w:r>
              <w:t xml:space="preserve"> method to be </w:t>
            </w:r>
            <w:r w:rsidR="00816C7B">
              <w:t xml:space="preserve">an </w:t>
            </w:r>
            <w:r>
              <w:t xml:space="preserve">acceptable </w:t>
            </w:r>
            <w:r w:rsidR="00F535C6">
              <w:t xml:space="preserve">method </w:t>
            </w:r>
            <w:r>
              <w:t>with conditions.</w:t>
            </w:r>
          </w:p>
        </w:tc>
        <w:tc>
          <w:tcPr>
            <w:tcW w:w="1260" w:type="dxa"/>
          </w:tcPr>
          <w:p w:rsidR="00A96328" w:rsidRPr="00A81BB6" w:rsidRDefault="00A81BB6" w:rsidP="00A96328">
            <w:pPr>
              <w:rPr>
                <w:b/>
                <w:sz w:val="24"/>
                <w:szCs w:val="24"/>
              </w:rPr>
            </w:pPr>
            <w:r w:rsidRPr="00A81BB6">
              <w:rPr>
                <w:b/>
                <w:sz w:val="24"/>
                <w:szCs w:val="24"/>
              </w:rPr>
              <w:t>i</w:t>
            </w:r>
            <w:r w:rsidR="00A96328" w:rsidRPr="00A81BB6">
              <w:rPr>
                <w:b/>
                <w:sz w:val="24"/>
                <w:szCs w:val="24"/>
              </w:rPr>
              <w:t>s not</w:t>
            </w:r>
          </w:p>
          <w:p w:rsidR="00A96328" w:rsidRPr="00A81BB6" w:rsidRDefault="00A96328" w:rsidP="00A96328">
            <w:pPr>
              <w:rPr>
                <w:b/>
                <w:sz w:val="24"/>
                <w:szCs w:val="24"/>
              </w:rPr>
            </w:pPr>
            <w:r w:rsidRPr="00A81BB6">
              <w:rPr>
                <w:b/>
                <w:sz w:val="24"/>
                <w:szCs w:val="24"/>
              </w:rPr>
              <w:t>needed</w:t>
            </w:r>
            <w:r w:rsidR="00A81BB6" w:rsidRPr="00A81BB6">
              <w:rPr>
                <w:b/>
                <w:sz w:val="24"/>
                <w:szCs w:val="24"/>
              </w:rPr>
              <w:t>.</w:t>
            </w:r>
          </w:p>
        </w:tc>
        <w:tc>
          <w:tcPr>
            <w:tcW w:w="4410" w:type="dxa"/>
          </w:tcPr>
          <w:p w:rsidR="004142EC" w:rsidRDefault="004142EC">
            <w:r>
              <w:t xml:space="preserve">The method is consistent with AVMA euthanasia recommendations.  No deviation from the </w:t>
            </w:r>
            <w:r w:rsidRPr="004142EC">
              <w:rPr>
                <w:i/>
              </w:rPr>
              <w:t>Guide</w:t>
            </w:r>
            <w:r w:rsidR="001861D4">
              <w:rPr>
                <w:i/>
              </w:rPr>
              <w:t>.</w:t>
            </w:r>
          </w:p>
        </w:tc>
      </w:tr>
      <w:tr w:rsidR="00370099" w:rsidTr="00370099">
        <w:tc>
          <w:tcPr>
            <w:tcW w:w="3528" w:type="dxa"/>
          </w:tcPr>
          <w:p w:rsidR="004142EC" w:rsidRDefault="004142EC">
            <w:r>
              <w:t xml:space="preserve">to perform decapitation </w:t>
            </w:r>
            <w:r w:rsidR="00A96328">
              <w:t xml:space="preserve">on mice </w:t>
            </w:r>
            <w:r>
              <w:t>without anesthesia with a device</w:t>
            </w:r>
            <w:r w:rsidR="00A81BB6">
              <w:t>*</w:t>
            </w:r>
            <w:r>
              <w:t xml:space="preserve"> other than a specialized rodent guillotine because studies suggest contact </w:t>
            </w:r>
            <w:r w:rsidR="00DB1462">
              <w:t>with</w:t>
            </w:r>
            <w:r w:rsidR="001861D4">
              <w:t xml:space="preserve"> </w:t>
            </w:r>
            <w:r w:rsidR="00F535C6">
              <w:t>the guillotine</w:t>
            </w:r>
            <w:r w:rsidR="001861D4">
              <w:t xml:space="preserve"> metal blades may alter experimental results.</w:t>
            </w:r>
          </w:p>
          <w:p w:rsidR="00A81BB6" w:rsidRDefault="00A81BB6">
            <w:r>
              <w:t>*</w:t>
            </w:r>
            <w:r>
              <w:rPr>
                <w:sz w:val="18"/>
                <w:szCs w:val="18"/>
              </w:rPr>
              <w:t xml:space="preserve">shown to be </w:t>
            </w:r>
            <w:r w:rsidRPr="00A81BB6">
              <w:rPr>
                <w:sz w:val="18"/>
                <w:szCs w:val="18"/>
              </w:rPr>
              <w:t>humane and effective</w:t>
            </w:r>
          </w:p>
        </w:tc>
        <w:tc>
          <w:tcPr>
            <w:tcW w:w="1260" w:type="dxa"/>
          </w:tcPr>
          <w:p w:rsidR="00A96328" w:rsidRPr="00A81BB6" w:rsidRDefault="00A81BB6" w:rsidP="00A96328">
            <w:pPr>
              <w:rPr>
                <w:b/>
                <w:sz w:val="24"/>
                <w:szCs w:val="24"/>
              </w:rPr>
            </w:pPr>
            <w:r w:rsidRPr="00A81BB6">
              <w:rPr>
                <w:b/>
                <w:sz w:val="24"/>
                <w:szCs w:val="24"/>
              </w:rPr>
              <w:t>i</w:t>
            </w:r>
            <w:r w:rsidR="00A96328" w:rsidRPr="00A81BB6">
              <w:rPr>
                <w:b/>
                <w:sz w:val="24"/>
                <w:szCs w:val="24"/>
              </w:rPr>
              <w:t>s not</w:t>
            </w:r>
          </w:p>
          <w:p w:rsidR="004142EC" w:rsidRPr="00A81BB6" w:rsidRDefault="00A96328" w:rsidP="00A96328">
            <w:pPr>
              <w:rPr>
                <w:b/>
                <w:sz w:val="24"/>
                <w:szCs w:val="24"/>
              </w:rPr>
            </w:pPr>
            <w:r w:rsidRPr="00A81BB6">
              <w:rPr>
                <w:b/>
                <w:sz w:val="24"/>
                <w:szCs w:val="24"/>
              </w:rPr>
              <w:t>needed</w:t>
            </w:r>
            <w:r w:rsidR="00A81BB6" w:rsidRPr="00A81BB6">
              <w:rPr>
                <w:b/>
                <w:sz w:val="24"/>
                <w:szCs w:val="24"/>
              </w:rPr>
              <w:t>.</w:t>
            </w:r>
          </w:p>
        </w:tc>
        <w:tc>
          <w:tcPr>
            <w:tcW w:w="4410" w:type="dxa"/>
          </w:tcPr>
          <w:p w:rsidR="004142EC" w:rsidRPr="00DB1462" w:rsidRDefault="00816C7B">
            <w:pPr>
              <w:rPr>
                <w:rFonts w:asciiTheme="minorHAnsi" w:hAnsiTheme="minorHAnsi"/>
                <w:i/>
              </w:rPr>
            </w:pPr>
            <w:r>
              <w:rPr>
                <w:rFonts w:asciiTheme="minorHAnsi" w:hAnsiTheme="minorHAnsi"/>
                <w:lang w:val="en"/>
              </w:rPr>
              <w:t>T</w:t>
            </w:r>
            <w:r w:rsidR="00DB1462">
              <w:rPr>
                <w:rFonts w:asciiTheme="minorHAnsi" w:hAnsiTheme="minorHAnsi"/>
                <w:lang w:val="en"/>
              </w:rPr>
              <w:t xml:space="preserve">he Guide says </w:t>
            </w:r>
            <w:r>
              <w:rPr>
                <w:rFonts w:asciiTheme="minorHAnsi" w:hAnsiTheme="minorHAnsi"/>
                <w:lang w:val="en"/>
              </w:rPr>
              <w:t>“Unless</w:t>
            </w:r>
            <w:r w:rsidR="00DB1462">
              <w:rPr>
                <w:rFonts w:asciiTheme="minorHAnsi" w:hAnsiTheme="minorHAnsi"/>
                <w:lang w:val="en"/>
              </w:rPr>
              <w:t xml:space="preserve"> a deviation is justified for scientific or medical reason, methods should be consistent with the AMVA Guidelines on Euthanasia…” (</w:t>
            </w:r>
            <w:r w:rsidR="001861D4">
              <w:rPr>
                <w:rFonts w:asciiTheme="minorHAnsi" w:hAnsiTheme="minorHAnsi"/>
                <w:lang w:val="en"/>
              </w:rPr>
              <w:t>Page</w:t>
            </w:r>
            <w:r w:rsidR="00DB1462">
              <w:rPr>
                <w:rFonts w:asciiTheme="minorHAnsi" w:hAnsiTheme="minorHAnsi"/>
                <w:lang w:val="en"/>
              </w:rPr>
              <w:t xml:space="preserve"> 123).</w:t>
            </w:r>
            <w:r w:rsidR="00A81BB6">
              <w:rPr>
                <w:rFonts w:asciiTheme="minorHAnsi" w:hAnsiTheme="minorHAnsi"/>
                <w:lang w:val="en"/>
              </w:rPr>
              <w:t xml:space="preserve"> </w:t>
            </w:r>
            <w:r w:rsidR="00DB1462" w:rsidRPr="00DB1462">
              <w:rPr>
                <w:rFonts w:asciiTheme="minorHAnsi" w:hAnsiTheme="minorHAnsi"/>
                <w:lang w:val="en"/>
              </w:rPr>
              <w:t xml:space="preserve">This is a deviation from a </w:t>
            </w:r>
            <w:r w:rsidR="001861D4">
              <w:rPr>
                <w:rFonts w:asciiTheme="minorHAnsi" w:hAnsiTheme="minorHAnsi"/>
                <w:lang w:val="en"/>
              </w:rPr>
              <w:t xml:space="preserve">“should” </w:t>
            </w:r>
            <w:r w:rsidR="00DB1462" w:rsidRPr="00DB1462">
              <w:rPr>
                <w:rFonts w:asciiTheme="minorHAnsi" w:hAnsiTheme="minorHAnsi"/>
                <w:lang w:val="en"/>
              </w:rPr>
              <w:t xml:space="preserve">statement according to a specifically established exception in the </w:t>
            </w:r>
            <w:r w:rsidR="00DB1462" w:rsidRPr="00DB1462">
              <w:rPr>
                <w:rStyle w:val="Emphasis"/>
                <w:rFonts w:asciiTheme="minorHAnsi" w:hAnsiTheme="minorHAnsi"/>
                <w:lang w:val="en"/>
              </w:rPr>
              <w:t xml:space="preserve">Guide </w:t>
            </w:r>
            <w:r w:rsidR="00DB1462">
              <w:rPr>
                <w:rFonts w:asciiTheme="minorHAnsi" w:hAnsiTheme="minorHAnsi"/>
                <w:lang w:val="en"/>
              </w:rPr>
              <w:t>based on a scientific justification.  Exceptions are not departures.</w:t>
            </w:r>
          </w:p>
        </w:tc>
      </w:tr>
    </w:tbl>
    <w:p w:rsidR="00B6741F" w:rsidRPr="00370099" w:rsidRDefault="00370099" w:rsidP="00370099">
      <w:pPr>
        <w:rPr>
          <w:sz w:val="24"/>
          <w:szCs w:val="24"/>
        </w:rPr>
      </w:pPr>
      <w:r>
        <w:rPr>
          <w:noProof/>
          <w:color w:val="1F497D" w:themeColor="text2"/>
          <w:sz w:val="24"/>
          <w:szCs w:val="24"/>
        </w:rPr>
        <w:drawing>
          <wp:anchor distT="0" distB="0" distL="114300" distR="114300" simplePos="0" relativeHeight="251661312" behindDoc="1" locked="0" layoutInCell="1" allowOverlap="1" wp14:anchorId="2B332DB4" wp14:editId="656D0F28">
            <wp:simplePos x="0" y="0"/>
            <wp:positionH relativeFrom="column">
              <wp:posOffset>1714500</wp:posOffset>
            </wp:positionH>
            <wp:positionV relativeFrom="paragraph">
              <wp:posOffset>363855</wp:posOffset>
            </wp:positionV>
            <wp:extent cx="1821180" cy="1462405"/>
            <wp:effectExtent l="0" t="0" r="0" b="4445"/>
            <wp:wrapTight wrapText="bothSides">
              <wp:wrapPolygon edited="0">
                <wp:start x="9941" y="0"/>
                <wp:lineTo x="9490" y="563"/>
                <wp:lineTo x="7682" y="4221"/>
                <wp:lineTo x="2711" y="7316"/>
                <wp:lineTo x="904" y="8723"/>
                <wp:lineTo x="678" y="17164"/>
                <wp:lineTo x="1582" y="21384"/>
                <wp:lineTo x="19657" y="21384"/>
                <wp:lineTo x="20561" y="18008"/>
                <wp:lineTo x="20335" y="16320"/>
                <wp:lineTo x="19657" y="13506"/>
                <wp:lineTo x="18527" y="12099"/>
                <wp:lineTo x="15138" y="9004"/>
                <wp:lineTo x="14460" y="4221"/>
                <wp:lineTo x="13105" y="1688"/>
                <wp:lineTo x="11975" y="0"/>
                <wp:lineTo x="9941" y="0"/>
              </wp:wrapPolygon>
            </wp:wrapTight>
            <wp:docPr id="13" name="Picture 13" descr="C:\Users\vhatvhrichej\AppData\Local\Microsoft\Windows\Temporary Internet Files\Content.IE5\CKOWDT7F\secretary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hatvhrichej\AppData\Local\Microsoft\Windows\Temporary Internet Files\Content.IE5\CKOWDT7F\secretary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1180" cy="146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C7B" w:rsidRPr="00816C7B">
        <w:rPr>
          <w:color w:val="1F497D" w:themeColor="text2"/>
          <w:sz w:val="24"/>
          <w:szCs w:val="24"/>
        </w:rPr>
        <w:t xml:space="preserve">Ann Marie says </w:t>
      </w:r>
      <w:r w:rsidR="00816C7B">
        <w:rPr>
          <w:color w:val="1F497D" w:themeColor="text2"/>
          <w:sz w:val="24"/>
          <w:szCs w:val="24"/>
        </w:rPr>
        <w:t>you’ve got it</w:t>
      </w:r>
      <w:r w:rsidR="00816C7B" w:rsidRPr="00816C7B">
        <w:rPr>
          <w:color w:val="1F497D" w:themeColor="text2"/>
          <w:sz w:val="24"/>
          <w:szCs w:val="24"/>
        </w:rPr>
        <w:t>; just remember that speci</w:t>
      </w:r>
      <w:r>
        <w:rPr>
          <w:color w:val="1F497D" w:themeColor="text2"/>
          <w:sz w:val="24"/>
          <w:szCs w:val="24"/>
        </w:rPr>
        <w:t>fic</w:t>
      </w:r>
      <w:r w:rsidR="00816C7B" w:rsidRPr="00816C7B">
        <w:rPr>
          <w:color w:val="1F497D" w:themeColor="text2"/>
          <w:sz w:val="24"/>
          <w:szCs w:val="24"/>
        </w:rPr>
        <w:t>ally established exceptions are protocol specific.</w:t>
      </w:r>
    </w:p>
    <w:p w:rsidR="00B6741F" w:rsidRDefault="00B6741F"/>
    <w:p w:rsidR="00B6741F" w:rsidRDefault="00B6741F"/>
    <w:p w:rsidR="00B6741F" w:rsidRDefault="00B6741F"/>
    <w:p w:rsidR="00B6741F" w:rsidRDefault="00B6741F"/>
    <w:sectPr w:rsidR="00B6741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4E" w:rsidRDefault="0082444E" w:rsidP="00EF2198">
      <w:pPr>
        <w:spacing w:after="0" w:line="240" w:lineRule="auto"/>
      </w:pPr>
      <w:r>
        <w:separator/>
      </w:r>
    </w:p>
  </w:endnote>
  <w:endnote w:type="continuationSeparator" w:id="0">
    <w:p w:rsidR="0082444E" w:rsidRDefault="0082444E" w:rsidP="00EF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25112"/>
      <w:docPartObj>
        <w:docPartGallery w:val="Page Numbers (Bottom of Page)"/>
        <w:docPartUnique/>
      </w:docPartObj>
    </w:sdtPr>
    <w:sdtEndPr>
      <w:rPr>
        <w:noProof/>
      </w:rPr>
    </w:sdtEndPr>
    <w:sdtContent>
      <w:p w:rsidR="00EF2198" w:rsidRDefault="00EF2198">
        <w:pPr>
          <w:pStyle w:val="Footer"/>
          <w:jc w:val="center"/>
        </w:pPr>
        <w:r>
          <w:fldChar w:fldCharType="begin"/>
        </w:r>
        <w:r>
          <w:instrText xml:space="preserve"> PAGE   \* MERGEFORMAT </w:instrText>
        </w:r>
        <w:r>
          <w:fldChar w:fldCharType="separate"/>
        </w:r>
        <w:r w:rsidR="00C37729">
          <w:rPr>
            <w:noProof/>
          </w:rPr>
          <w:t>1</w:t>
        </w:r>
        <w:r>
          <w:rPr>
            <w:noProof/>
          </w:rPr>
          <w:fldChar w:fldCharType="end"/>
        </w:r>
      </w:p>
    </w:sdtContent>
  </w:sdt>
  <w:p w:rsidR="00EF2198" w:rsidRDefault="00EF2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4E" w:rsidRDefault="0082444E" w:rsidP="00EF2198">
      <w:pPr>
        <w:spacing w:after="0" w:line="240" w:lineRule="auto"/>
      </w:pPr>
      <w:r>
        <w:separator/>
      </w:r>
    </w:p>
  </w:footnote>
  <w:footnote w:type="continuationSeparator" w:id="0">
    <w:p w:rsidR="0082444E" w:rsidRDefault="0082444E" w:rsidP="00EF21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3B1C"/>
    <w:multiLevelType w:val="hybridMultilevel"/>
    <w:tmpl w:val="C1489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9E2F48"/>
    <w:multiLevelType w:val="hybridMultilevel"/>
    <w:tmpl w:val="2066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D7DBD"/>
    <w:multiLevelType w:val="hybridMultilevel"/>
    <w:tmpl w:val="3AE6D3E4"/>
    <w:lvl w:ilvl="0" w:tplc="7960E75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75017"/>
    <w:multiLevelType w:val="hybridMultilevel"/>
    <w:tmpl w:val="8A20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981202"/>
    <w:multiLevelType w:val="hybridMultilevel"/>
    <w:tmpl w:val="EF867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51"/>
    <w:rsid w:val="000E11C5"/>
    <w:rsid w:val="00162351"/>
    <w:rsid w:val="001861D4"/>
    <w:rsid w:val="00275A42"/>
    <w:rsid w:val="002928E4"/>
    <w:rsid w:val="00311A03"/>
    <w:rsid w:val="00370099"/>
    <w:rsid w:val="00396196"/>
    <w:rsid w:val="003D603A"/>
    <w:rsid w:val="004142EC"/>
    <w:rsid w:val="006D164F"/>
    <w:rsid w:val="006D62E5"/>
    <w:rsid w:val="00701364"/>
    <w:rsid w:val="007D44E7"/>
    <w:rsid w:val="00816C7B"/>
    <w:rsid w:val="0082444E"/>
    <w:rsid w:val="00893BD4"/>
    <w:rsid w:val="008F45C3"/>
    <w:rsid w:val="00986EE1"/>
    <w:rsid w:val="00997078"/>
    <w:rsid w:val="009A3C34"/>
    <w:rsid w:val="00A81BB6"/>
    <w:rsid w:val="00A96328"/>
    <w:rsid w:val="00B6741F"/>
    <w:rsid w:val="00C37729"/>
    <w:rsid w:val="00C85FE5"/>
    <w:rsid w:val="00D12C53"/>
    <w:rsid w:val="00DB1462"/>
    <w:rsid w:val="00DF6D17"/>
    <w:rsid w:val="00E418BA"/>
    <w:rsid w:val="00EB373D"/>
    <w:rsid w:val="00EB6805"/>
    <w:rsid w:val="00EF2198"/>
    <w:rsid w:val="00F53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351"/>
    <w:pPr>
      <w:spacing w:after="0" w:line="240" w:lineRule="auto"/>
    </w:pPr>
    <w:rPr>
      <w:rFonts w:ascii="Calibri" w:eastAsia="Calibri" w:hAnsi="Calibri" w:cs="Times New Roman"/>
    </w:rPr>
  </w:style>
  <w:style w:type="paragraph" w:styleId="ListParagraph">
    <w:name w:val="List Paragraph"/>
    <w:basedOn w:val="Normal"/>
    <w:uiPriority w:val="34"/>
    <w:qFormat/>
    <w:rsid w:val="00162351"/>
    <w:pPr>
      <w:ind w:left="720"/>
      <w:contextualSpacing/>
    </w:pPr>
  </w:style>
  <w:style w:type="character" w:styleId="Hyperlink">
    <w:name w:val="Hyperlink"/>
    <w:basedOn w:val="DefaultParagraphFont"/>
    <w:uiPriority w:val="99"/>
    <w:unhideWhenUsed/>
    <w:rsid w:val="00893BD4"/>
    <w:rPr>
      <w:color w:val="0000FF" w:themeColor="hyperlink"/>
      <w:u w:val="single"/>
    </w:rPr>
  </w:style>
  <w:style w:type="paragraph" w:styleId="BalloonText">
    <w:name w:val="Balloon Text"/>
    <w:basedOn w:val="Normal"/>
    <w:link w:val="BalloonTextChar"/>
    <w:uiPriority w:val="99"/>
    <w:semiHidden/>
    <w:unhideWhenUsed/>
    <w:rsid w:val="00B6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41F"/>
    <w:rPr>
      <w:rFonts w:ascii="Tahoma" w:eastAsia="Calibri" w:hAnsi="Tahoma" w:cs="Tahoma"/>
      <w:sz w:val="16"/>
      <w:szCs w:val="16"/>
    </w:rPr>
  </w:style>
  <w:style w:type="paragraph" w:customStyle="1" w:styleId="Default">
    <w:name w:val="Default"/>
    <w:rsid w:val="00B6741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96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11C5"/>
    <w:rPr>
      <w:sz w:val="16"/>
      <w:szCs w:val="16"/>
    </w:rPr>
  </w:style>
  <w:style w:type="paragraph" w:styleId="CommentText">
    <w:name w:val="annotation text"/>
    <w:basedOn w:val="Normal"/>
    <w:link w:val="CommentTextChar"/>
    <w:uiPriority w:val="99"/>
    <w:semiHidden/>
    <w:unhideWhenUsed/>
    <w:rsid w:val="000E11C5"/>
    <w:pPr>
      <w:spacing w:line="240" w:lineRule="auto"/>
    </w:pPr>
    <w:rPr>
      <w:sz w:val="20"/>
      <w:szCs w:val="20"/>
    </w:rPr>
  </w:style>
  <w:style w:type="character" w:customStyle="1" w:styleId="CommentTextChar">
    <w:name w:val="Comment Text Char"/>
    <w:basedOn w:val="DefaultParagraphFont"/>
    <w:link w:val="CommentText"/>
    <w:uiPriority w:val="99"/>
    <w:semiHidden/>
    <w:rsid w:val="000E11C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11C5"/>
    <w:rPr>
      <w:b/>
      <w:bCs/>
    </w:rPr>
  </w:style>
  <w:style w:type="character" w:customStyle="1" w:styleId="CommentSubjectChar">
    <w:name w:val="Comment Subject Char"/>
    <w:basedOn w:val="CommentTextChar"/>
    <w:link w:val="CommentSubject"/>
    <w:uiPriority w:val="99"/>
    <w:semiHidden/>
    <w:rsid w:val="000E11C5"/>
    <w:rPr>
      <w:rFonts w:ascii="Calibri" w:eastAsia="Calibri" w:hAnsi="Calibri" w:cs="Times New Roman"/>
      <w:b/>
      <w:bCs/>
      <w:sz w:val="20"/>
      <w:szCs w:val="20"/>
    </w:rPr>
  </w:style>
  <w:style w:type="character" w:styleId="Emphasis">
    <w:name w:val="Emphasis"/>
    <w:basedOn w:val="DefaultParagraphFont"/>
    <w:uiPriority w:val="20"/>
    <w:qFormat/>
    <w:rsid w:val="00DB1462"/>
    <w:rPr>
      <w:i/>
      <w:iCs/>
    </w:rPr>
  </w:style>
  <w:style w:type="paragraph" w:styleId="Header">
    <w:name w:val="header"/>
    <w:basedOn w:val="Normal"/>
    <w:link w:val="HeaderChar"/>
    <w:uiPriority w:val="99"/>
    <w:unhideWhenUsed/>
    <w:rsid w:val="00EF2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198"/>
    <w:rPr>
      <w:rFonts w:ascii="Calibri" w:eastAsia="Calibri" w:hAnsi="Calibri" w:cs="Times New Roman"/>
    </w:rPr>
  </w:style>
  <w:style w:type="paragraph" w:styleId="Footer">
    <w:name w:val="footer"/>
    <w:basedOn w:val="Normal"/>
    <w:link w:val="FooterChar"/>
    <w:uiPriority w:val="99"/>
    <w:unhideWhenUsed/>
    <w:rsid w:val="00EF2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19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5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351"/>
    <w:pPr>
      <w:spacing w:after="0" w:line="240" w:lineRule="auto"/>
    </w:pPr>
    <w:rPr>
      <w:rFonts w:ascii="Calibri" w:eastAsia="Calibri" w:hAnsi="Calibri" w:cs="Times New Roman"/>
    </w:rPr>
  </w:style>
  <w:style w:type="paragraph" w:styleId="ListParagraph">
    <w:name w:val="List Paragraph"/>
    <w:basedOn w:val="Normal"/>
    <w:uiPriority w:val="34"/>
    <w:qFormat/>
    <w:rsid w:val="00162351"/>
    <w:pPr>
      <w:ind w:left="720"/>
      <w:contextualSpacing/>
    </w:pPr>
  </w:style>
  <w:style w:type="character" w:styleId="Hyperlink">
    <w:name w:val="Hyperlink"/>
    <w:basedOn w:val="DefaultParagraphFont"/>
    <w:uiPriority w:val="99"/>
    <w:unhideWhenUsed/>
    <w:rsid w:val="00893BD4"/>
    <w:rPr>
      <w:color w:val="0000FF" w:themeColor="hyperlink"/>
      <w:u w:val="single"/>
    </w:rPr>
  </w:style>
  <w:style w:type="paragraph" w:styleId="BalloonText">
    <w:name w:val="Balloon Text"/>
    <w:basedOn w:val="Normal"/>
    <w:link w:val="BalloonTextChar"/>
    <w:uiPriority w:val="99"/>
    <w:semiHidden/>
    <w:unhideWhenUsed/>
    <w:rsid w:val="00B67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41F"/>
    <w:rPr>
      <w:rFonts w:ascii="Tahoma" w:eastAsia="Calibri" w:hAnsi="Tahoma" w:cs="Tahoma"/>
      <w:sz w:val="16"/>
      <w:szCs w:val="16"/>
    </w:rPr>
  </w:style>
  <w:style w:type="paragraph" w:customStyle="1" w:styleId="Default">
    <w:name w:val="Default"/>
    <w:rsid w:val="00B6741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96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E11C5"/>
    <w:rPr>
      <w:sz w:val="16"/>
      <w:szCs w:val="16"/>
    </w:rPr>
  </w:style>
  <w:style w:type="paragraph" w:styleId="CommentText">
    <w:name w:val="annotation text"/>
    <w:basedOn w:val="Normal"/>
    <w:link w:val="CommentTextChar"/>
    <w:uiPriority w:val="99"/>
    <w:semiHidden/>
    <w:unhideWhenUsed/>
    <w:rsid w:val="000E11C5"/>
    <w:pPr>
      <w:spacing w:line="240" w:lineRule="auto"/>
    </w:pPr>
    <w:rPr>
      <w:sz w:val="20"/>
      <w:szCs w:val="20"/>
    </w:rPr>
  </w:style>
  <w:style w:type="character" w:customStyle="1" w:styleId="CommentTextChar">
    <w:name w:val="Comment Text Char"/>
    <w:basedOn w:val="DefaultParagraphFont"/>
    <w:link w:val="CommentText"/>
    <w:uiPriority w:val="99"/>
    <w:semiHidden/>
    <w:rsid w:val="000E11C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11C5"/>
    <w:rPr>
      <w:b/>
      <w:bCs/>
    </w:rPr>
  </w:style>
  <w:style w:type="character" w:customStyle="1" w:styleId="CommentSubjectChar">
    <w:name w:val="Comment Subject Char"/>
    <w:basedOn w:val="CommentTextChar"/>
    <w:link w:val="CommentSubject"/>
    <w:uiPriority w:val="99"/>
    <w:semiHidden/>
    <w:rsid w:val="000E11C5"/>
    <w:rPr>
      <w:rFonts w:ascii="Calibri" w:eastAsia="Calibri" w:hAnsi="Calibri" w:cs="Times New Roman"/>
      <w:b/>
      <w:bCs/>
      <w:sz w:val="20"/>
      <w:szCs w:val="20"/>
    </w:rPr>
  </w:style>
  <w:style w:type="character" w:styleId="Emphasis">
    <w:name w:val="Emphasis"/>
    <w:basedOn w:val="DefaultParagraphFont"/>
    <w:uiPriority w:val="20"/>
    <w:qFormat/>
    <w:rsid w:val="00DB1462"/>
    <w:rPr>
      <w:i/>
      <w:iCs/>
    </w:rPr>
  </w:style>
  <w:style w:type="paragraph" w:styleId="Header">
    <w:name w:val="header"/>
    <w:basedOn w:val="Normal"/>
    <w:link w:val="HeaderChar"/>
    <w:uiPriority w:val="99"/>
    <w:unhideWhenUsed/>
    <w:rsid w:val="00EF2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198"/>
    <w:rPr>
      <w:rFonts w:ascii="Calibri" w:eastAsia="Calibri" w:hAnsi="Calibri" w:cs="Times New Roman"/>
    </w:rPr>
  </w:style>
  <w:style w:type="paragraph" w:styleId="Footer">
    <w:name w:val="footer"/>
    <w:basedOn w:val="Normal"/>
    <w:link w:val="FooterChar"/>
    <w:uiPriority w:val="99"/>
    <w:unhideWhenUsed/>
    <w:rsid w:val="00EF2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1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10054">
      <w:bodyDiv w:val="1"/>
      <w:marLeft w:val="0"/>
      <w:marRight w:val="0"/>
      <w:marTop w:val="0"/>
      <w:marBottom w:val="0"/>
      <w:divBdr>
        <w:top w:val="none" w:sz="0" w:space="0" w:color="auto"/>
        <w:left w:val="none" w:sz="0" w:space="0" w:color="auto"/>
        <w:bottom w:val="none" w:sz="0" w:space="0" w:color="auto"/>
        <w:right w:val="none" w:sz="0" w:space="0" w:color="auto"/>
      </w:divBdr>
    </w:div>
    <w:div w:id="552279073">
      <w:bodyDiv w:val="1"/>
      <w:marLeft w:val="0"/>
      <w:marRight w:val="0"/>
      <w:marTop w:val="0"/>
      <w:marBottom w:val="0"/>
      <w:divBdr>
        <w:top w:val="none" w:sz="0" w:space="0" w:color="auto"/>
        <w:left w:val="none" w:sz="0" w:space="0" w:color="auto"/>
        <w:bottom w:val="none" w:sz="0" w:space="0" w:color="auto"/>
        <w:right w:val="none" w:sz="0" w:space="0" w:color="auto"/>
      </w:divBdr>
    </w:div>
    <w:div w:id="616791728">
      <w:bodyDiv w:val="1"/>
      <w:marLeft w:val="0"/>
      <w:marRight w:val="0"/>
      <w:marTop w:val="0"/>
      <w:marBottom w:val="0"/>
      <w:divBdr>
        <w:top w:val="none" w:sz="0" w:space="0" w:color="auto"/>
        <w:left w:val="none" w:sz="0" w:space="0" w:color="auto"/>
        <w:bottom w:val="none" w:sz="0" w:space="0" w:color="auto"/>
        <w:right w:val="none" w:sz="0" w:space="0" w:color="auto"/>
      </w:divBdr>
    </w:div>
    <w:div w:id="657853836">
      <w:bodyDiv w:val="1"/>
      <w:marLeft w:val="0"/>
      <w:marRight w:val="0"/>
      <w:marTop w:val="0"/>
      <w:marBottom w:val="0"/>
      <w:divBdr>
        <w:top w:val="none" w:sz="0" w:space="0" w:color="auto"/>
        <w:left w:val="none" w:sz="0" w:space="0" w:color="auto"/>
        <w:bottom w:val="none" w:sz="0" w:space="0" w:color="auto"/>
        <w:right w:val="none" w:sz="0" w:space="0" w:color="auto"/>
      </w:divBdr>
    </w:div>
    <w:div w:id="986588323">
      <w:bodyDiv w:val="1"/>
      <w:marLeft w:val="0"/>
      <w:marRight w:val="0"/>
      <w:marTop w:val="0"/>
      <w:marBottom w:val="0"/>
      <w:divBdr>
        <w:top w:val="none" w:sz="0" w:space="0" w:color="auto"/>
        <w:left w:val="none" w:sz="0" w:space="0" w:color="auto"/>
        <w:bottom w:val="none" w:sz="0" w:space="0" w:color="auto"/>
        <w:right w:val="none" w:sz="0" w:space="0" w:color="auto"/>
      </w:divBdr>
    </w:div>
    <w:div w:id="1034576058">
      <w:bodyDiv w:val="1"/>
      <w:marLeft w:val="0"/>
      <w:marRight w:val="0"/>
      <w:marTop w:val="0"/>
      <w:marBottom w:val="0"/>
      <w:divBdr>
        <w:top w:val="none" w:sz="0" w:space="0" w:color="auto"/>
        <w:left w:val="none" w:sz="0" w:space="0" w:color="auto"/>
        <w:bottom w:val="none" w:sz="0" w:space="0" w:color="auto"/>
        <w:right w:val="none" w:sz="0" w:space="0" w:color="auto"/>
      </w:divBdr>
    </w:div>
    <w:div w:id="10865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earch.va.gov/programs/animal_researc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en.wikipedia.org/wiki/File:US-DeptOfVeteransAffairs-Seal.sv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0291C-5875-4B13-B1A1-882E0B7A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T Richerson, DVM</dc:creator>
  <cp:lastModifiedBy>Joan T Richerson, DVM</cp:lastModifiedBy>
  <cp:revision>4</cp:revision>
  <dcterms:created xsi:type="dcterms:W3CDTF">2015-12-31T17:28:00Z</dcterms:created>
  <dcterms:modified xsi:type="dcterms:W3CDTF">2015-12-31T18:01:00Z</dcterms:modified>
</cp:coreProperties>
</file>