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B1" w:rsidRPr="00E070E3" w:rsidRDefault="002A7EB1" w:rsidP="002A7EB1">
      <w:pPr>
        <w:rPr>
          <w:rFonts w:ascii="Cambria" w:hAnsi="Cambria" w:cs="Arial"/>
          <w:color w:val="1F497D" w:themeColor="text2"/>
          <w:sz w:val="24"/>
          <w:szCs w:val="24"/>
        </w:rPr>
      </w:pPr>
      <w:r w:rsidRPr="00687D6F">
        <w:rPr>
          <w:noProof/>
          <w:color w:val="1F497D" w:themeColor="text2"/>
        </w:rPr>
        <w:drawing>
          <wp:anchor distT="0" distB="0" distL="114300" distR="114300" simplePos="0" relativeHeight="251659264" behindDoc="0" locked="0" layoutInCell="1" allowOverlap="1" wp14:anchorId="5432B7C6" wp14:editId="38C0FA2D">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D6F">
        <w:rPr>
          <w:rFonts w:cs="Arial"/>
          <w:b/>
          <w:color w:val="1F497D" w:themeColor="text2"/>
          <w:sz w:val="28"/>
          <w:szCs w:val="28"/>
        </w:rPr>
        <w:t>I</w:t>
      </w:r>
      <w:bookmarkStart w:id="0" w:name="_GoBack"/>
      <w:r w:rsidRPr="00687D6F">
        <w:rPr>
          <w:rFonts w:cs="Arial"/>
          <w:b/>
          <w:color w:val="1F497D" w:themeColor="text2"/>
          <w:sz w:val="28"/>
          <w:szCs w:val="28"/>
        </w:rPr>
        <w:t>A</w:t>
      </w:r>
      <w:r w:rsidRPr="00687D6F">
        <w:rPr>
          <w:b/>
          <w:color w:val="1F497D" w:themeColor="text2"/>
          <w:sz w:val="28"/>
          <w:szCs w:val="28"/>
        </w:rPr>
        <w:t xml:space="preserve">CUC Training </w:t>
      </w:r>
      <w:r w:rsidRPr="00E070E3">
        <w:rPr>
          <w:b/>
          <w:color w:val="1F497D" w:themeColor="text2"/>
          <w:sz w:val="24"/>
          <w:szCs w:val="24"/>
        </w:rPr>
        <w:t>Exercise #3- 2015</w:t>
      </w:r>
      <w:r w:rsidR="00C02494">
        <w:rPr>
          <w:b/>
          <w:color w:val="1F497D" w:themeColor="text2"/>
          <w:sz w:val="24"/>
          <w:szCs w:val="24"/>
        </w:rPr>
        <w:t xml:space="preserve"> (Single housing of mic</w:t>
      </w:r>
      <w:r w:rsidR="00E070E3" w:rsidRPr="00E070E3">
        <w:rPr>
          <w:b/>
          <w:color w:val="1F497D" w:themeColor="text2"/>
          <w:sz w:val="24"/>
          <w:szCs w:val="24"/>
        </w:rPr>
        <w:t>e)</w:t>
      </w:r>
    </w:p>
    <w:bookmarkEnd w:id="0"/>
    <w:p w:rsidR="002A7EB1" w:rsidRPr="00E070E3" w:rsidRDefault="002A7EB1" w:rsidP="002A7EB1">
      <w:pPr>
        <w:pStyle w:val="NoSpacing"/>
        <w:rPr>
          <w:color w:val="1F497D" w:themeColor="text2"/>
          <w:sz w:val="24"/>
          <w:szCs w:val="24"/>
        </w:rPr>
      </w:pPr>
      <w:r w:rsidRPr="00E070E3">
        <w:rPr>
          <w:color w:val="1F497D" w:themeColor="text2"/>
          <w:sz w:val="24"/>
          <w:szCs w:val="24"/>
        </w:rPr>
        <w:t xml:space="preserve">The following exercise may be useful in stimulating discussion regarding compliance with PHS Policy and VA Handbook 1200.07. To facilitate discussion, pages 1-3 of the exercise may be distributed to the IACUC members prior to a meeting.  After a few minutes of discussion about the exercise during the meeting, the remainder of the exercise may be distributed to provide ideas for the committee’s consideration.  </w:t>
      </w:r>
    </w:p>
    <w:p w:rsidR="002A7EB1" w:rsidRPr="00E070E3" w:rsidRDefault="002A7EB1" w:rsidP="002A7EB1">
      <w:pPr>
        <w:rPr>
          <w:color w:val="1F497D" w:themeColor="text2"/>
          <w:sz w:val="24"/>
          <w:szCs w:val="24"/>
        </w:rPr>
      </w:pPr>
    </w:p>
    <w:p w:rsidR="002A7EB1" w:rsidRPr="00E070E3" w:rsidRDefault="002A7EB1" w:rsidP="002A7EB1">
      <w:pPr>
        <w:rPr>
          <w:color w:val="1F497D" w:themeColor="text2"/>
          <w:sz w:val="24"/>
          <w:szCs w:val="24"/>
        </w:rPr>
      </w:pPr>
      <w:r w:rsidRPr="00E070E3">
        <w:rPr>
          <w:color w:val="1F497D" w:themeColor="text2"/>
          <w:sz w:val="24"/>
          <w:szCs w:val="24"/>
        </w:rPr>
        <w:t>Ann Marie, the Hometown VAMC-IACUC Manager, was checking her email on M</w:t>
      </w:r>
      <w:r w:rsidR="00C02494">
        <w:rPr>
          <w:color w:val="1F497D" w:themeColor="text2"/>
          <w:sz w:val="24"/>
          <w:szCs w:val="24"/>
        </w:rPr>
        <w:t>onday morning and found</w:t>
      </w:r>
      <w:r w:rsidRPr="00E070E3">
        <w:rPr>
          <w:color w:val="1F497D" w:themeColor="text2"/>
          <w:sz w:val="24"/>
          <w:szCs w:val="24"/>
        </w:rPr>
        <w:t xml:space="preserve"> a new ACORP had been submit</w:t>
      </w:r>
      <w:r w:rsidR="00E070E3" w:rsidRPr="00E070E3">
        <w:rPr>
          <w:color w:val="1F497D" w:themeColor="text2"/>
          <w:sz w:val="24"/>
          <w:szCs w:val="24"/>
        </w:rPr>
        <w:t xml:space="preserve">ted. </w:t>
      </w:r>
      <w:r w:rsidRPr="00E070E3">
        <w:rPr>
          <w:color w:val="1F497D" w:themeColor="text2"/>
          <w:sz w:val="24"/>
          <w:szCs w:val="24"/>
        </w:rPr>
        <w:t xml:space="preserve">The new ACORP file included an Appendix 9.   She was well aware that Appendix 9 was used to document departures from the </w:t>
      </w:r>
      <w:r w:rsidRPr="00E070E3">
        <w:rPr>
          <w:i/>
          <w:color w:val="1F497D" w:themeColor="text2"/>
          <w:sz w:val="24"/>
          <w:szCs w:val="24"/>
        </w:rPr>
        <w:t xml:space="preserve">Guide </w:t>
      </w:r>
      <w:r w:rsidRPr="00E070E3">
        <w:rPr>
          <w:color w:val="1F497D" w:themeColor="text2"/>
          <w:sz w:val="24"/>
          <w:szCs w:val="24"/>
        </w:rPr>
        <w:t>that had been approved by the IACUC and were to be included i</w:t>
      </w:r>
      <w:r w:rsidR="007D3DE1">
        <w:rPr>
          <w:color w:val="1F497D" w:themeColor="text2"/>
          <w:sz w:val="24"/>
          <w:szCs w:val="24"/>
        </w:rPr>
        <w:t>n the semiannual report to the Institutional O</w:t>
      </w:r>
      <w:r w:rsidRPr="00E070E3">
        <w:rPr>
          <w:color w:val="1F497D" w:themeColor="text2"/>
          <w:sz w:val="24"/>
          <w:szCs w:val="24"/>
        </w:rPr>
        <w:t xml:space="preserve">fficial.    Ann Marie also knew that some deviations from the </w:t>
      </w:r>
      <w:r w:rsidRPr="00E070E3">
        <w:rPr>
          <w:i/>
          <w:color w:val="1F497D" w:themeColor="text2"/>
          <w:sz w:val="24"/>
          <w:szCs w:val="24"/>
        </w:rPr>
        <w:t xml:space="preserve">Guide </w:t>
      </w:r>
      <w:r w:rsidRPr="00E070E3">
        <w:rPr>
          <w:color w:val="1F497D" w:themeColor="text2"/>
          <w:sz w:val="24"/>
          <w:szCs w:val="24"/>
        </w:rPr>
        <w:t>were not departures and should not be included in Appendix 9.   Figuring out deviations versus departures was tricky so Ann Marie always kept her VA Deviations and Departures flowchart close at hand (see page 2); she found going through the following logic helped her sort things out:</w:t>
      </w:r>
    </w:p>
    <w:p w:rsidR="002A7EB1" w:rsidRPr="00E070E3" w:rsidRDefault="002A7EB1" w:rsidP="002A7EB1">
      <w:pPr>
        <w:pStyle w:val="ListParagraph"/>
        <w:numPr>
          <w:ilvl w:val="0"/>
          <w:numId w:val="1"/>
        </w:numPr>
        <w:rPr>
          <w:color w:val="1F497D" w:themeColor="text2"/>
          <w:sz w:val="24"/>
          <w:szCs w:val="24"/>
        </w:rPr>
      </w:pPr>
      <w:r w:rsidRPr="00E070E3">
        <w:rPr>
          <w:rFonts w:asciiTheme="minorHAnsi" w:eastAsia="+mn-ea" w:hAnsiTheme="minorHAnsi" w:cs="+mn-cs"/>
          <w:color w:val="1F497D" w:themeColor="text2"/>
          <w:kern w:val="24"/>
          <w:sz w:val="24"/>
          <w:szCs w:val="24"/>
        </w:rPr>
        <w:t xml:space="preserve">Does the </w:t>
      </w:r>
      <w:r w:rsidRPr="00E070E3">
        <w:rPr>
          <w:rFonts w:asciiTheme="minorHAnsi" w:eastAsia="+mn-ea" w:hAnsiTheme="minorHAnsi" w:cs="+mn-cs"/>
          <w:i/>
          <w:iCs/>
          <w:color w:val="1F497D" w:themeColor="text2"/>
          <w:kern w:val="24"/>
          <w:sz w:val="24"/>
          <w:szCs w:val="24"/>
        </w:rPr>
        <w:t xml:space="preserve">Guide </w:t>
      </w:r>
      <w:r w:rsidRPr="00E070E3">
        <w:rPr>
          <w:rFonts w:asciiTheme="minorHAnsi" w:eastAsia="+mn-ea" w:hAnsiTheme="minorHAnsi" w:cs="+mn-cs"/>
          <w:color w:val="1F497D" w:themeColor="text2"/>
          <w:kern w:val="24"/>
          <w:sz w:val="24"/>
          <w:szCs w:val="24"/>
        </w:rPr>
        <w:t>describe the standard as a “may” statement?   If so, no departure has occurred because “may” statements are suggestions. Appendix 9 is not needed.</w:t>
      </w:r>
    </w:p>
    <w:p w:rsidR="002A7EB1" w:rsidRPr="00E070E3" w:rsidRDefault="002A7EB1" w:rsidP="00E070E3">
      <w:pPr>
        <w:pStyle w:val="ListParagraph"/>
        <w:numPr>
          <w:ilvl w:val="0"/>
          <w:numId w:val="1"/>
        </w:numPr>
        <w:rPr>
          <w:color w:val="1F497D" w:themeColor="text2"/>
          <w:sz w:val="24"/>
          <w:szCs w:val="24"/>
        </w:rPr>
      </w:pPr>
      <w:r w:rsidRPr="00E070E3">
        <w:rPr>
          <w:rFonts w:asciiTheme="minorHAnsi" w:eastAsia="+mn-ea" w:hAnsiTheme="minorHAnsi" w:cs="+mn-cs"/>
          <w:color w:val="1F497D" w:themeColor="text2"/>
          <w:kern w:val="24"/>
          <w:sz w:val="24"/>
          <w:szCs w:val="24"/>
        </w:rPr>
        <w:t xml:space="preserve">Does the </w:t>
      </w:r>
      <w:r w:rsidRPr="00E070E3">
        <w:rPr>
          <w:rFonts w:asciiTheme="minorHAnsi" w:eastAsia="+mn-ea" w:hAnsiTheme="minorHAnsi" w:cs="+mn-cs"/>
          <w:i/>
          <w:iCs/>
          <w:color w:val="1F497D" w:themeColor="text2"/>
          <w:kern w:val="24"/>
          <w:sz w:val="24"/>
          <w:szCs w:val="24"/>
        </w:rPr>
        <w:t xml:space="preserve">Guide </w:t>
      </w:r>
      <w:r w:rsidRPr="00E070E3">
        <w:rPr>
          <w:rFonts w:asciiTheme="minorHAnsi" w:eastAsia="+mn-ea" w:hAnsiTheme="minorHAnsi" w:cs="+mn-cs"/>
          <w:color w:val="1F497D" w:themeColor="text2"/>
          <w:kern w:val="24"/>
          <w:sz w:val="24"/>
          <w:szCs w:val="24"/>
        </w:rPr>
        <w:t>in relatio</w:t>
      </w:r>
      <w:r w:rsidR="00E070E3" w:rsidRPr="00E070E3">
        <w:rPr>
          <w:rFonts w:asciiTheme="minorHAnsi" w:eastAsia="+mn-ea" w:hAnsiTheme="minorHAnsi" w:cs="+mn-cs"/>
          <w:color w:val="1F497D" w:themeColor="text2"/>
          <w:kern w:val="24"/>
          <w:sz w:val="24"/>
          <w:szCs w:val="24"/>
        </w:rPr>
        <w:t>n to a “must” or “should” statement</w:t>
      </w:r>
      <w:r w:rsidRPr="00E070E3">
        <w:rPr>
          <w:rFonts w:asciiTheme="minorHAnsi" w:eastAsia="+mn-ea" w:hAnsiTheme="minorHAnsi" w:cs="+mn-cs"/>
          <w:color w:val="1F497D" w:themeColor="text2"/>
          <w:kern w:val="24"/>
          <w:sz w:val="24"/>
          <w:szCs w:val="24"/>
        </w:rPr>
        <w:t xml:space="preserve"> list an exception that permits deviation?  If so, no departure has occurred.  Appendix 9 is not needed.</w:t>
      </w:r>
    </w:p>
    <w:p w:rsidR="002A7EB1" w:rsidRPr="00E070E3" w:rsidRDefault="002A7EB1" w:rsidP="002A7EB1">
      <w:pPr>
        <w:pStyle w:val="ListParagraph"/>
        <w:numPr>
          <w:ilvl w:val="0"/>
          <w:numId w:val="1"/>
        </w:numPr>
        <w:rPr>
          <w:color w:val="1F497D" w:themeColor="text2"/>
          <w:sz w:val="24"/>
          <w:szCs w:val="24"/>
        </w:rPr>
      </w:pPr>
      <w:r w:rsidRPr="00E070E3">
        <w:rPr>
          <w:rFonts w:asciiTheme="minorHAnsi" w:eastAsia="+mn-ea" w:hAnsiTheme="minorHAnsi" w:cs="+mn-cs"/>
          <w:color w:val="1F497D" w:themeColor="text2"/>
          <w:kern w:val="24"/>
          <w:sz w:val="24"/>
          <w:szCs w:val="24"/>
        </w:rPr>
        <w:t>Does the “should” statement meet the criteria for a well-established performance standard?  If so, no departure has occurred. Appendix 9 is not needed.</w:t>
      </w:r>
    </w:p>
    <w:p w:rsidR="002A7EB1" w:rsidRPr="00E070E3" w:rsidRDefault="002A7EB1" w:rsidP="002A7EB1">
      <w:pPr>
        <w:rPr>
          <w:color w:val="1F497D" w:themeColor="text2"/>
          <w:sz w:val="24"/>
          <w:szCs w:val="24"/>
        </w:rPr>
      </w:pPr>
      <w:r w:rsidRPr="00E070E3">
        <w:rPr>
          <w:color w:val="1F497D" w:themeColor="text2"/>
          <w:sz w:val="24"/>
          <w:szCs w:val="24"/>
        </w:rPr>
        <w:t xml:space="preserve">She noticed the ACORP’s Appendix 9 was related to single housing.  Ann Marie spent some time reviewing the </w:t>
      </w:r>
      <w:r w:rsidRPr="00E070E3">
        <w:rPr>
          <w:i/>
          <w:color w:val="1F497D" w:themeColor="text2"/>
          <w:sz w:val="24"/>
          <w:szCs w:val="24"/>
        </w:rPr>
        <w:t xml:space="preserve">Guide </w:t>
      </w:r>
      <w:r w:rsidRPr="00E070E3">
        <w:rPr>
          <w:color w:val="1F497D" w:themeColor="text2"/>
          <w:sz w:val="24"/>
          <w:szCs w:val="24"/>
        </w:rPr>
        <w:t>looking for statements</w:t>
      </w:r>
      <w:r w:rsidR="00E070E3" w:rsidRPr="00E070E3">
        <w:rPr>
          <w:color w:val="1F497D" w:themeColor="text2"/>
          <w:sz w:val="24"/>
          <w:szCs w:val="24"/>
        </w:rPr>
        <w:t xml:space="preserve"> related to single housing and </w:t>
      </w:r>
      <w:r w:rsidRPr="00E070E3">
        <w:rPr>
          <w:color w:val="1F497D" w:themeColor="text2"/>
          <w:sz w:val="24"/>
          <w:szCs w:val="24"/>
        </w:rPr>
        <w:t>comparing the applicable statements to the VA Deviations and Departures flowchart before deciding</w:t>
      </w:r>
      <w:r w:rsidR="00E070E3" w:rsidRPr="00E070E3">
        <w:rPr>
          <w:color w:val="1F497D" w:themeColor="text2"/>
          <w:sz w:val="24"/>
          <w:szCs w:val="24"/>
        </w:rPr>
        <w:t xml:space="preserve"> that</w:t>
      </w:r>
      <w:r w:rsidRPr="00E070E3">
        <w:rPr>
          <w:color w:val="1F497D" w:themeColor="text2"/>
          <w:sz w:val="24"/>
          <w:szCs w:val="24"/>
        </w:rPr>
        <w:t xml:space="preserve"> she had spotted a few problems with the Appendix 9.</w:t>
      </w:r>
    </w:p>
    <w:p w:rsidR="002A7EB1" w:rsidRPr="00E070E3" w:rsidRDefault="002A7EB1" w:rsidP="002A7EB1">
      <w:pPr>
        <w:rPr>
          <w:i/>
          <w:color w:val="1F497D" w:themeColor="text2"/>
          <w:sz w:val="24"/>
          <w:szCs w:val="24"/>
        </w:rPr>
      </w:pPr>
      <w:r w:rsidRPr="00E070E3">
        <w:rPr>
          <w:color w:val="1F497D" w:themeColor="text2"/>
          <w:sz w:val="24"/>
          <w:szCs w:val="24"/>
        </w:rPr>
        <w:t>What problems do you think Ann Marie found and was an Appendix 9 actually needed?</w:t>
      </w:r>
    </w:p>
    <w:p w:rsidR="002A7EB1" w:rsidRPr="00E070E3" w:rsidRDefault="002A7EB1" w:rsidP="002A7EB1">
      <w:pPr>
        <w:rPr>
          <w:i/>
          <w:color w:val="1F497D" w:themeColor="text2"/>
          <w:sz w:val="24"/>
          <w:szCs w:val="24"/>
        </w:rPr>
      </w:pPr>
    </w:p>
    <w:p w:rsidR="002A7EB1" w:rsidRPr="00E070E3" w:rsidRDefault="002A7EB1" w:rsidP="002A7EB1">
      <w:pPr>
        <w:rPr>
          <w:i/>
          <w:color w:val="1F497D" w:themeColor="text2"/>
          <w:sz w:val="24"/>
          <w:szCs w:val="24"/>
        </w:rPr>
      </w:pPr>
    </w:p>
    <w:p w:rsidR="002A7EB1" w:rsidRPr="00687D6F" w:rsidRDefault="002A7EB1" w:rsidP="002A7EB1">
      <w:pPr>
        <w:rPr>
          <w:i/>
          <w:color w:val="1F497D" w:themeColor="text2"/>
        </w:rPr>
      </w:pPr>
    </w:p>
    <w:p w:rsidR="002A7EB1" w:rsidRPr="00EE155A" w:rsidRDefault="002A7EB1" w:rsidP="002A7EB1"/>
    <w:p w:rsidR="002A7EB1" w:rsidRDefault="002A7EB1" w:rsidP="002A7EB1">
      <w:pPr>
        <w:rPr>
          <w:i/>
        </w:rPr>
      </w:pPr>
    </w:p>
    <w:p w:rsidR="002A7EB1" w:rsidRDefault="002A7EB1" w:rsidP="002A7EB1">
      <w:pPr>
        <w:rPr>
          <w:i/>
        </w:rPr>
      </w:pPr>
    </w:p>
    <w:p w:rsidR="002A7EB1" w:rsidRDefault="002A7EB1" w:rsidP="002A7EB1">
      <w:pPr>
        <w:jc w:val="center"/>
        <w:rPr>
          <w:b/>
          <w:sz w:val="40"/>
          <w:szCs w:val="40"/>
          <w:u w:val="single"/>
        </w:rPr>
      </w:pPr>
      <w:r>
        <w:rPr>
          <w:b/>
          <w:sz w:val="40"/>
          <w:szCs w:val="40"/>
          <w:u w:val="single"/>
        </w:rPr>
        <w:t>VA Deviations and Departures Flowchart</w:t>
      </w:r>
    </w:p>
    <w:p w:rsidR="002A7EB1" w:rsidRDefault="002A7EB1" w:rsidP="002A7EB1">
      <w:pPr>
        <w:rPr>
          <w:i/>
        </w:rPr>
      </w:pPr>
    </w:p>
    <w:p w:rsidR="002A7EB1" w:rsidRDefault="002A7EB1" w:rsidP="002A7EB1">
      <w:r>
        <w:rPr>
          <w:noProof/>
        </w:rPr>
        <w:drawing>
          <wp:inline distT="0" distB="0" distL="0" distR="0" wp14:anchorId="3E065622" wp14:editId="14232C39">
            <wp:extent cx="5943600" cy="469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693920"/>
                    </a:xfrm>
                    <a:prstGeom prst="rect">
                      <a:avLst/>
                    </a:prstGeom>
                  </pic:spPr>
                </pic:pic>
              </a:graphicData>
            </a:graphic>
          </wp:inline>
        </w:drawing>
      </w:r>
    </w:p>
    <w:p w:rsidR="002A7EB1" w:rsidRDefault="002A7EB1" w:rsidP="002A7EB1"/>
    <w:p w:rsidR="002A7EB1" w:rsidRDefault="002A7EB1" w:rsidP="002A7EB1"/>
    <w:p w:rsidR="002A7EB1" w:rsidRDefault="002A7EB1" w:rsidP="002A7EB1"/>
    <w:p w:rsidR="002A7EB1" w:rsidRDefault="002A7EB1" w:rsidP="002A7EB1"/>
    <w:p w:rsidR="002A7EB1" w:rsidRDefault="002A7EB1" w:rsidP="002A7EB1"/>
    <w:p w:rsidR="002A7EB1" w:rsidRDefault="002A7EB1" w:rsidP="002A7EB1"/>
    <w:p w:rsidR="002A7EB1" w:rsidRDefault="002A7EB1" w:rsidP="002A7EB1"/>
    <w:p w:rsidR="002A7EB1" w:rsidRDefault="002A7EB1" w:rsidP="002A7EB1"/>
    <w:p w:rsidR="002A7EB1" w:rsidRDefault="002A7EB1" w:rsidP="002A7EB1"/>
    <w:p w:rsidR="002A7EB1" w:rsidRDefault="002A7EB1" w:rsidP="002A7EB1"/>
    <w:p w:rsidR="002A7EB1" w:rsidRPr="00E070E3" w:rsidRDefault="002A7EB1" w:rsidP="002A7EB1">
      <w:pPr>
        <w:rPr>
          <w:color w:val="1F497D" w:themeColor="text2"/>
          <w:sz w:val="24"/>
          <w:szCs w:val="24"/>
        </w:rPr>
      </w:pPr>
      <w:r w:rsidRPr="00E070E3">
        <w:rPr>
          <w:color w:val="1F497D" w:themeColor="text2"/>
          <w:sz w:val="24"/>
          <w:szCs w:val="24"/>
        </w:rPr>
        <w:t>The Appendix 9 of the new ACORP that Ann Marie received is</w:t>
      </w:r>
      <w:r w:rsidR="00E070E3" w:rsidRPr="00E070E3">
        <w:rPr>
          <w:color w:val="1F497D" w:themeColor="text2"/>
          <w:sz w:val="24"/>
          <w:szCs w:val="24"/>
        </w:rPr>
        <w:t xml:space="preserve"> shown below; please note this Appendix 9 (verbatim) was</w:t>
      </w:r>
      <w:r w:rsidR="00E070E3">
        <w:rPr>
          <w:color w:val="1F497D" w:themeColor="text2"/>
          <w:sz w:val="24"/>
          <w:szCs w:val="24"/>
        </w:rPr>
        <w:t xml:space="preserve"> </w:t>
      </w:r>
      <w:r w:rsidR="00E070E3" w:rsidRPr="00E070E3">
        <w:rPr>
          <w:color w:val="1F497D" w:themeColor="text2"/>
          <w:sz w:val="24"/>
          <w:szCs w:val="24"/>
        </w:rPr>
        <w:t>submitted for JIT secondary veterinary review.</w:t>
      </w:r>
    </w:p>
    <w:p w:rsidR="002A7EB1" w:rsidRDefault="002A7EB1" w:rsidP="002A7EB1">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ACORP Appendix 9</w:t>
      </w:r>
    </w:p>
    <w:p w:rsidR="002A7EB1" w:rsidRDefault="002A7EB1" w:rsidP="002A7EB1">
      <w:pPr>
        <w:autoSpaceDE w:val="0"/>
        <w:autoSpaceDN w:val="0"/>
        <w:adjustRightInd w:val="0"/>
        <w:spacing w:after="0" w:line="240" w:lineRule="auto"/>
        <w:jc w:val="center"/>
        <w:rPr>
          <w:rFonts w:ascii="Arial" w:hAnsi="Arial" w:cs="Arial"/>
          <w:b/>
          <w:i/>
          <w:iCs/>
          <w:sz w:val="20"/>
          <w:szCs w:val="20"/>
        </w:rPr>
      </w:pPr>
      <w:r>
        <w:rPr>
          <w:rFonts w:ascii="Arial" w:hAnsi="Arial" w:cs="Arial"/>
          <w:b/>
          <w:sz w:val="20"/>
          <w:szCs w:val="20"/>
        </w:rPr>
        <w:t xml:space="preserve">DEPARTURES FROM "MUST" AND "SHOULD" STANDARDS IN THE </w:t>
      </w:r>
      <w:r>
        <w:rPr>
          <w:rFonts w:ascii="Arial" w:hAnsi="Arial" w:cs="Arial"/>
          <w:b/>
          <w:i/>
          <w:iCs/>
          <w:sz w:val="20"/>
          <w:szCs w:val="20"/>
        </w:rPr>
        <w:t>GUIDE (2011)</w:t>
      </w:r>
    </w:p>
    <w:p w:rsidR="002A7EB1" w:rsidRDefault="002A7EB1" w:rsidP="002A7EB1">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VERSION 4</w:t>
      </w:r>
    </w:p>
    <w:p w:rsidR="002A7EB1" w:rsidRDefault="002A7EB1" w:rsidP="002A7EB1">
      <w:pPr>
        <w:autoSpaceDE w:val="0"/>
        <w:autoSpaceDN w:val="0"/>
        <w:adjustRightInd w:val="0"/>
        <w:spacing w:after="0" w:line="240" w:lineRule="auto"/>
        <w:rPr>
          <w:rFonts w:ascii="Arial" w:hAnsi="Arial" w:cs="Arial"/>
          <w:sz w:val="20"/>
          <w:szCs w:val="20"/>
        </w:rPr>
      </w:pPr>
      <w:r>
        <w:rPr>
          <w:rFonts w:ascii="Arial" w:hAnsi="Arial" w:cs="Arial"/>
          <w:sz w:val="20"/>
          <w:szCs w:val="20"/>
        </w:rPr>
        <w:t>See ACORP App. 9 Instructions, for more detailed explanations of the information requested.</w:t>
      </w:r>
    </w:p>
    <w:p w:rsidR="002A7EB1" w:rsidRDefault="002A7EB1" w:rsidP="002A7EB1">
      <w:pPr>
        <w:autoSpaceDE w:val="0"/>
        <w:autoSpaceDN w:val="0"/>
        <w:adjustRightInd w:val="0"/>
        <w:spacing w:after="0" w:line="240" w:lineRule="auto"/>
        <w:rPr>
          <w:rFonts w:ascii="Arial" w:hAnsi="Arial" w:cs="Arial"/>
          <w:sz w:val="20"/>
          <w:szCs w:val="20"/>
        </w:rPr>
      </w:pPr>
    </w:p>
    <w:p w:rsidR="002A7EB1" w:rsidRDefault="002A7EB1" w:rsidP="002A7EB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each IACUC-approved "departure" of this protocol from a "Must" or "Should" standard in the </w:t>
      </w:r>
      <w:r>
        <w:rPr>
          <w:rFonts w:ascii="Arial" w:hAnsi="Arial" w:cs="Arial"/>
          <w:i/>
          <w:iCs/>
          <w:sz w:val="20"/>
          <w:szCs w:val="20"/>
        </w:rPr>
        <w:t xml:space="preserve">Guide, </w:t>
      </w:r>
      <w:r>
        <w:rPr>
          <w:rFonts w:ascii="Arial" w:hAnsi="Arial" w:cs="Arial"/>
          <w:sz w:val="20"/>
          <w:szCs w:val="20"/>
        </w:rPr>
        <w:t>provide the following information. (Consult the IACUC or the Attending Veterinarian for help in determining whether any "departures" are involved.):</w:t>
      </w:r>
    </w:p>
    <w:p w:rsidR="002A7EB1" w:rsidRDefault="002A7EB1" w:rsidP="002A7EB1">
      <w:pPr>
        <w:autoSpaceDE w:val="0"/>
        <w:autoSpaceDN w:val="0"/>
        <w:adjustRightInd w:val="0"/>
        <w:spacing w:after="0" w:line="240" w:lineRule="auto"/>
        <w:rPr>
          <w:rFonts w:ascii="Arial" w:hAnsi="Arial" w:cs="Arial"/>
          <w:sz w:val="20"/>
          <w:szCs w:val="20"/>
        </w:rPr>
      </w:pPr>
    </w:p>
    <w:p w:rsidR="002A7EB1" w:rsidRDefault="002A7EB1" w:rsidP="002A7EB1">
      <w:pPr>
        <w:rPr>
          <w:rFonts w:ascii="Arial" w:hAnsi="Arial" w:cs="Arial"/>
          <w:sz w:val="20"/>
          <w:szCs w:val="20"/>
        </w:rPr>
      </w:pPr>
      <w:r>
        <w:rPr>
          <w:rFonts w:ascii="Arial" w:hAnsi="Arial" w:cs="Arial"/>
          <w:sz w:val="20"/>
          <w:szCs w:val="20"/>
        </w:rPr>
        <w:t>Copy the lines below for each departure.</w:t>
      </w:r>
    </w:p>
    <w:p w:rsidR="002A7EB1" w:rsidRDefault="002A7EB1" w:rsidP="002A7EB1">
      <w:pPr>
        <w:autoSpaceDE w:val="0"/>
        <w:autoSpaceDN w:val="0"/>
        <w:adjustRightInd w:val="0"/>
        <w:spacing w:after="0" w:line="240" w:lineRule="auto"/>
        <w:rPr>
          <w:rFonts w:ascii="Arial" w:hAnsi="Arial" w:cs="Arial"/>
          <w:i/>
          <w:iCs/>
          <w:sz w:val="20"/>
          <w:szCs w:val="20"/>
        </w:rPr>
      </w:pPr>
      <w:r>
        <w:rPr>
          <w:rFonts w:ascii="Arial" w:hAnsi="Arial" w:cs="Arial"/>
          <w:sz w:val="20"/>
          <w:szCs w:val="20"/>
        </w:rPr>
        <w:t xml:space="preserve">Briefly summarize the "Must" or "Should" standard, and provide the number(s) of the page(s) on which it appears in the </w:t>
      </w:r>
      <w:r>
        <w:rPr>
          <w:rFonts w:ascii="Arial" w:hAnsi="Arial" w:cs="Arial"/>
          <w:i/>
          <w:iCs/>
          <w:sz w:val="20"/>
          <w:szCs w:val="20"/>
        </w:rPr>
        <w:t>Guide.</w:t>
      </w:r>
    </w:p>
    <w:p w:rsidR="002A7EB1" w:rsidRDefault="002A7EB1" w:rsidP="002A7EB1">
      <w:pPr>
        <w:autoSpaceDE w:val="0"/>
        <w:autoSpaceDN w:val="0"/>
        <w:adjustRightInd w:val="0"/>
        <w:spacing w:after="0" w:line="240" w:lineRule="auto"/>
        <w:rPr>
          <w:rFonts w:ascii="Arial" w:hAnsi="Arial" w:cs="Arial"/>
          <w:sz w:val="20"/>
          <w:szCs w:val="20"/>
        </w:rPr>
      </w:pPr>
    </w:p>
    <w:p w:rsidR="002A7EB1" w:rsidRDefault="002A7EB1" w:rsidP="002A7EB1">
      <w:pPr>
        <w:pStyle w:val="Default"/>
        <w:rPr>
          <w:color w:val="auto"/>
          <w:sz w:val="20"/>
          <w:szCs w:val="20"/>
        </w:rPr>
      </w:pPr>
    </w:p>
    <w:p w:rsidR="002A7EB1" w:rsidRDefault="002A7EB1" w:rsidP="002A7EB1">
      <w:pPr>
        <w:autoSpaceDE w:val="0"/>
        <w:autoSpaceDN w:val="0"/>
        <w:adjustRightInd w:val="0"/>
        <w:spacing w:after="0" w:line="240" w:lineRule="auto"/>
        <w:rPr>
          <w:rFonts w:ascii="Arial" w:hAnsi="Arial" w:cs="Arial"/>
          <w:b/>
          <w:sz w:val="20"/>
          <w:szCs w:val="20"/>
        </w:rPr>
      </w:pPr>
      <w:r>
        <w:rPr>
          <w:rFonts w:ascii="Arial" w:hAnsi="Arial" w:cs="Arial"/>
          <w:b/>
          <w:bCs/>
          <w:sz w:val="20"/>
          <w:szCs w:val="20"/>
        </w:rPr>
        <w:t>►</w:t>
      </w:r>
      <w:r>
        <w:rPr>
          <w:rFonts w:ascii="Arial" w:hAnsi="Arial" w:cs="Arial"/>
          <w:b/>
          <w:sz w:val="20"/>
          <w:szCs w:val="20"/>
        </w:rPr>
        <w:t>Social animals should be housed in pairs or groups. Chapter 3, Page 51.</w:t>
      </w:r>
    </w:p>
    <w:p w:rsidR="002A7EB1" w:rsidRDefault="002A7EB1" w:rsidP="002A7EB1">
      <w:pPr>
        <w:autoSpaceDE w:val="0"/>
        <w:autoSpaceDN w:val="0"/>
        <w:adjustRightInd w:val="0"/>
        <w:spacing w:after="0" w:line="240" w:lineRule="auto"/>
        <w:rPr>
          <w:rFonts w:ascii="Arial" w:hAnsi="Arial" w:cs="Arial"/>
          <w:b/>
          <w:sz w:val="20"/>
          <w:szCs w:val="20"/>
        </w:rPr>
      </w:pPr>
    </w:p>
    <w:p w:rsidR="002A7EB1" w:rsidRDefault="002A7EB1" w:rsidP="002A7EB1">
      <w:pPr>
        <w:autoSpaceDE w:val="0"/>
        <w:autoSpaceDN w:val="0"/>
        <w:adjustRightInd w:val="0"/>
        <w:spacing w:after="0" w:line="240" w:lineRule="auto"/>
        <w:rPr>
          <w:rFonts w:ascii="Arial" w:hAnsi="Arial" w:cs="Arial"/>
          <w:color w:val="9B9B9B"/>
          <w:sz w:val="21"/>
          <w:szCs w:val="21"/>
        </w:rPr>
      </w:pPr>
      <w:r>
        <w:rPr>
          <w:rFonts w:ascii="Arial" w:hAnsi="Arial" w:cs="Arial"/>
          <w:color w:val="545454"/>
          <w:sz w:val="21"/>
          <w:szCs w:val="21"/>
        </w:rPr>
        <w:t>Describe the specific alternate standard(s) tha</w:t>
      </w:r>
      <w:r w:rsidR="00EB39D5">
        <w:rPr>
          <w:rFonts w:ascii="Arial" w:hAnsi="Arial" w:cs="Arial"/>
          <w:color w:val="545454"/>
          <w:sz w:val="21"/>
          <w:szCs w:val="21"/>
        </w:rPr>
        <w:t xml:space="preserve">t will be met on this protocol </w:t>
      </w:r>
      <w:r>
        <w:rPr>
          <w:rFonts w:ascii="Arial" w:hAnsi="Arial" w:cs="Arial"/>
          <w:color w:val="545454"/>
          <w:sz w:val="21"/>
          <w:szCs w:val="21"/>
        </w:rPr>
        <w:t xml:space="preserve">and how they </w:t>
      </w:r>
      <w:r>
        <w:rPr>
          <w:rFonts w:ascii="Arial" w:hAnsi="Arial" w:cs="Arial"/>
          <w:color w:val="444444"/>
          <w:sz w:val="21"/>
          <w:szCs w:val="21"/>
        </w:rPr>
        <w:t>will be mon</w:t>
      </w:r>
      <w:r>
        <w:rPr>
          <w:rFonts w:ascii="Arial" w:hAnsi="Arial" w:cs="Arial"/>
          <w:color w:val="6A6A6A"/>
          <w:sz w:val="21"/>
          <w:szCs w:val="21"/>
        </w:rPr>
        <w:t>itored.</w:t>
      </w:r>
    </w:p>
    <w:p w:rsidR="002A7EB1" w:rsidRDefault="002A7EB1" w:rsidP="002A7EB1">
      <w:pPr>
        <w:pStyle w:val="Default"/>
        <w:rPr>
          <w:color w:val="auto"/>
          <w:sz w:val="20"/>
          <w:szCs w:val="20"/>
        </w:rPr>
      </w:pPr>
    </w:p>
    <w:p w:rsidR="002A7EB1" w:rsidRDefault="002A7EB1" w:rsidP="002A7EB1">
      <w:pPr>
        <w:autoSpaceDE w:val="0"/>
        <w:autoSpaceDN w:val="0"/>
        <w:adjustRightInd w:val="0"/>
        <w:spacing w:after="0" w:line="240" w:lineRule="auto"/>
        <w:rPr>
          <w:rFonts w:ascii="Arial" w:hAnsi="Arial" w:cs="Arial"/>
          <w:b/>
          <w:sz w:val="21"/>
          <w:szCs w:val="21"/>
        </w:rPr>
      </w:pPr>
      <w:r>
        <w:rPr>
          <w:rFonts w:ascii="Arial" w:hAnsi="Arial" w:cs="Arial"/>
          <w:b/>
          <w:bCs/>
          <w:sz w:val="20"/>
          <w:szCs w:val="20"/>
        </w:rPr>
        <w:t>►</w:t>
      </w:r>
      <w:r>
        <w:rPr>
          <w:rFonts w:ascii="Arial" w:hAnsi="Arial" w:cs="Arial"/>
          <w:b/>
          <w:sz w:val="21"/>
          <w:szCs w:val="21"/>
        </w:rPr>
        <w:t>Mice will be single housed: males after breeding. any animal fighting, those in nesting studies, those in running wheel studies.</w:t>
      </w:r>
    </w:p>
    <w:p w:rsidR="002A7EB1" w:rsidRDefault="002A7EB1" w:rsidP="002A7EB1">
      <w:pPr>
        <w:autoSpaceDE w:val="0"/>
        <w:autoSpaceDN w:val="0"/>
        <w:adjustRightInd w:val="0"/>
        <w:spacing w:after="0" w:line="240" w:lineRule="auto"/>
        <w:rPr>
          <w:rFonts w:ascii="Arial" w:hAnsi="Arial" w:cs="Arial"/>
          <w:color w:val="545454"/>
          <w:sz w:val="21"/>
          <w:szCs w:val="21"/>
        </w:rPr>
      </w:pPr>
    </w:p>
    <w:p w:rsidR="002A7EB1" w:rsidRDefault="002A7EB1" w:rsidP="002A7EB1">
      <w:pPr>
        <w:autoSpaceDE w:val="0"/>
        <w:autoSpaceDN w:val="0"/>
        <w:adjustRightInd w:val="0"/>
        <w:spacing w:after="0" w:line="240" w:lineRule="auto"/>
        <w:rPr>
          <w:rFonts w:ascii="Arial" w:hAnsi="Arial" w:cs="Arial"/>
          <w:color w:val="444444"/>
          <w:sz w:val="21"/>
          <w:szCs w:val="21"/>
        </w:rPr>
      </w:pPr>
      <w:r>
        <w:rPr>
          <w:rFonts w:ascii="Arial" w:hAnsi="Arial" w:cs="Arial"/>
          <w:color w:val="545454"/>
          <w:sz w:val="21"/>
          <w:szCs w:val="21"/>
        </w:rPr>
        <w:t xml:space="preserve">Provide </w:t>
      </w:r>
      <w:r>
        <w:rPr>
          <w:rFonts w:ascii="Arial" w:hAnsi="Arial" w:cs="Arial"/>
          <w:color w:val="444444"/>
          <w:sz w:val="21"/>
          <w:szCs w:val="21"/>
        </w:rPr>
        <w:t xml:space="preserve">the </w:t>
      </w:r>
      <w:r>
        <w:rPr>
          <w:rFonts w:ascii="Arial" w:hAnsi="Arial" w:cs="Arial"/>
          <w:color w:val="545454"/>
          <w:sz w:val="21"/>
          <w:szCs w:val="21"/>
        </w:rPr>
        <w:t xml:space="preserve">scientific, </w:t>
      </w:r>
      <w:r>
        <w:rPr>
          <w:rFonts w:ascii="Arial" w:hAnsi="Arial" w:cs="Arial"/>
          <w:color w:val="444444"/>
          <w:sz w:val="21"/>
          <w:szCs w:val="21"/>
        </w:rPr>
        <w:t xml:space="preserve">veterinary </w:t>
      </w:r>
      <w:r>
        <w:rPr>
          <w:rFonts w:ascii="Arial" w:hAnsi="Arial" w:cs="Arial"/>
          <w:color w:val="545454"/>
          <w:sz w:val="21"/>
          <w:szCs w:val="21"/>
        </w:rPr>
        <w:t xml:space="preserve">medical or </w:t>
      </w:r>
      <w:r>
        <w:rPr>
          <w:rFonts w:ascii="Arial" w:hAnsi="Arial" w:cs="Arial"/>
          <w:color w:val="444444"/>
          <w:sz w:val="21"/>
          <w:szCs w:val="21"/>
        </w:rPr>
        <w:t xml:space="preserve">animal welfare considerations that </w:t>
      </w:r>
      <w:r>
        <w:rPr>
          <w:rFonts w:ascii="Arial" w:hAnsi="Arial" w:cs="Arial"/>
          <w:color w:val="545454"/>
          <w:sz w:val="21"/>
          <w:szCs w:val="21"/>
        </w:rPr>
        <w:t xml:space="preserve">justify this </w:t>
      </w:r>
      <w:r>
        <w:rPr>
          <w:rFonts w:ascii="Arial" w:hAnsi="Arial" w:cs="Arial"/>
          <w:color w:val="444444"/>
          <w:sz w:val="21"/>
          <w:szCs w:val="21"/>
        </w:rPr>
        <w:t>departure</w:t>
      </w:r>
    </w:p>
    <w:p w:rsidR="002A7EB1" w:rsidRDefault="002A7EB1" w:rsidP="002A7EB1">
      <w:pPr>
        <w:autoSpaceDE w:val="0"/>
        <w:autoSpaceDN w:val="0"/>
        <w:adjustRightInd w:val="0"/>
        <w:spacing w:after="0" w:line="240" w:lineRule="auto"/>
        <w:rPr>
          <w:rFonts w:ascii="Arial" w:hAnsi="Arial" w:cs="Arial"/>
          <w:color w:val="444444"/>
          <w:sz w:val="21"/>
          <w:szCs w:val="21"/>
        </w:rPr>
      </w:pPr>
    </w:p>
    <w:p w:rsidR="002A7EB1" w:rsidRDefault="002A7EB1" w:rsidP="002A7EB1">
      <w:pPr>
        <w:pStyle w:val="Default"/>
        <w:rPr>
          <w:color w:val="auto"/>
          <w:sz w:val="20"/>
          <w:szCs w:val="20"/>
        </w:rPr>
      </w:pPr>
    </w:p>
    <w:p w:rsidR="002A7EB1" w:rsidRDefault="002A7EB1" w:rsidP="002A7EB1">
      <w:pPr>
        <w:autoSpaceDE w:val="0"/>
        <w:autoSpaceDN w:val="0"/>
        <w:adjustRightInd w:val="0"/>
        <w:spacing w:after="0" w:line="240" w:lineRule="auto"/>
        <w:rPr>
          <w:rFonts w:ascii="Arial" w:hAnsi="Arial" w:cs="Arial"/>
          <w:b/>
          <w:sz w:val="21"/>
          <w:szCs w:val="21"/>
        </w:rPr>
      </w:pPr>
      <w:r>
        <w:rPr>
          <w:rFonts w:ascii="Arial" w:hAnsi="Arial" w:cs="Arial"/>
          <w:b/>
          <w:bCs/>
          <w:sz w:val="20"/>
          <w:szCs w:val="20"/>
        </w:rPr>
        <w:t>►</w:t>
      </w:r>
      <w:r>
        <w:rPr>
          <w:rFonts w:ascii="Arial" w:hAnsi="Arial" w:cs="Arial"/>
          <w:b/>
          <w:sz w:val="21"/>
          <w:szCs w:val="21"/>
        </w:rPr>
        <w:t>After having been single housed, male mice routinely fight when social housing is attempted. Single housing is required during running wheel studies because data is collected from a single animal; the instrument cannot distinguish between animals. Nesting study mice are only singly to score next building; they are housed very briefly (less than 24 h). Nesting animals may be rehoused with cagemates when testing is completed.</w:t>
      </w:r>
    </w:p>
    <w:p w:rsidR="002A7EB1" w:rsidRDefault="002A7EB1" w:rsidP="002A7EB1">
      <w:pPr>
        <w:pStyle w:val="Default"/>
        <w:jc w:val="center"/>
        <w:rPr>
          <w:b/>
          <w:bCs/>
          <w:sz w:val="20"/>
          <w:szCs w:val="20"/>
        </w:rPr>
      </w:pPr>
    </w:p>
    <w:p w:rsidR="002A7EB1" w:rsidRDefault="002A7EB1" w:rsidP="002A7EB1">
      <w:pPr>
        <w:pStyle w:val="Default"/>
        <w:jc w:val="center"/>
        <w:rPr>
          <w:b/>
          <w:bCs/>
          <w:sz w:val="20"/>
          <w:szCs w:val="20"/>
        </w:rPr>
      </w:pPr>
    </w:p>
    <w:p w:rsidR="002A7EB1" w:rsidRDefault="002A7EB1" w:rsidP="002A7EB1"/>
    <w:p w:rsidR="002A7EB1" w:rsidRDefault="002A7EB1" w:rsidP="002A7EB1"/>
    <w:p w:rsidR="002A7EB1" w:rsidRDefault="002A7EB1" w:rsidP="002A7EB1"/>
    <w:p w:rsidR="002A7EB1" w:rsidRDefault="002A7EB1" w:rsidP="002A7EB1"/>
    <w:p w:rsidR="002A7EB1" w:rsidRDefault="002A7EB1" w:rsidP="002A7EB1"/>
    <w:p w:rsidR="002A7EB1" w:rsidRDefault="002A7EB1" w:rsidP="002A7EB1"/>
    <w:p w:rsidR="002A7EB1" w:rsidRPr="00E070E3" w:rsidRDefault="00F25FE1" w:rsidP="00E070E3">
      <w:pPr>
        <w:rPr>
          <w:color w:val="1F497D" w:themeColor="text2"/>
          <w:u w:val="single"/>
        </w:rPr>
      </w:pPr>
      <w:r w:rsidRPr="00E070E3">
        <w:rPr>
          <w:color w:val="1F497D" w:themeColor="text2"/>
          <w:sz w:val="24"/>
          <w:szCs w:val="24"/>
          <w:u w:val="single"/>
        </w:rPr>
        <w:lastRenderedPageBreak/>
        <w:t xml:space="preserve">The analysis </w:t>
      </w:r>
      <w:r w:rsidR="00EB39D5" w:rsidRPr="00E070E3">
        <w:rPr>
          <w:color w:val="1F497D" w:themeColor="text2"/>
          <w:sz w:val="24"/>
          <w:szCs w:val="24"/>
          <w:u w:val="single"/>
        </w:rPr>
        <w:t xml:space="preserve">of </w:t>
      </w:r>
      <w:r w:rsidR="00EB39D5">
        <w:rPr>
          <w:color w:val="1F497D" w:themeColor="text2"/>
          <w:sz w:val="24"/>
          <w:szCs w:val="24"/>
          <w:u w:val="single"/>
        </w:rPr>
        <w:t xml:space="preserve">the </w:t>
      </w:r>
      <w:r w:rsidR="002A7EB1" w:rsidRPr="00E070E3">
        <w:rPr>
          <w:color w:val="1F497D" w:themeColor="text2"/>
          <w:sz w:val="24"/>
          <w:szCs w:val="24"/>
          <w:u w:val="single"/>
        </w:rPr>
        <w:t>ACORP</w:t>
      </w:r>
      <w:r w:rsidRPr="00E070E3">
        <w:rPr>
          <w:color w:val="1F497D" w:themeColor="text2"/>
          <w:sz w:val="24"/>
          <w:szCs w:val="24"/>
          <w:u w:val="single"/>
        </w:rPr>
        <w:t>’s Appendix 9</w:t>
      </w:r>
      <w:r w:rsidR="002A7EB1" w:rsidRPr="00E070E3">
        <w:rPr>
          <w:color w:val="1F497D" w:themeColor="text2"/>
          <w:sz w:val="24"/>
          <w:szCs w:val="24"/>
          <w:u w:val="single"/>
        </w:rPr>
        <w:t xml:space="preserve"> is shown below in</w:t>
      </w:r>
      <w:r w:rsidR="002A7EB1" w:rsidRPr="00E070E3">
        <w:rPr>
          <w:color w:val="1F497D" w:themeColor="text2"/>
          <w:u w:val="single"/>
        </w:rPr>
        <w:t xml:space="preserve"> </w:t>
      </w:r>
      <w:r w:rsidR="002A7EB1" w:rsidRPr="00EB39D5">
        <w:rPr>
          <w:b/>
          <w:color w:val="C0504D" w:themeColor="accent2"/>
          <w:sz w:val="24"/>
          <w:szCs w:val="24"/>
          <w:u w:val="single"/>
        </w:rPr>
        <w:t>red font</w:t>
      </w:r>
      <w:r w:rsidR="002A7EB1" w:rsidRPr="00E070E3">
        <w:rPr>
          <w:color w:val="1F497D" w:themeColor="text2"/>
          <w:u w:val="single"/>
        </w:rPr>
        <w:t>.</w:t>
      </w:r>
    </w:p>
    <w:p w:rsidR="002A7EB1" w:rsidRDefault="002A7EB1" w:rsidP="002A7EB1">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ACORP Appendix 9</w:t>
      </w:r>
    </w:p>
    <w:p w:rsidR="002A7EB1" w:rsidRDefault="002A7EB1" w:rsidP="002A7EB1">
      <w:pPr>
        <w:autoSpaceDE w:val="0"/>
        <w:autoSpaceDN w:val="0"/>
        <w:adjustRightInd w:val="0"/>
        <w:spacing w:after="0" w:line="240" w:lineRule="auto"/>
        <w:jc w:val="center"/>
        <w:rPr>
          <w:rFonts w:ascii="Arial" w:hAnsi="Arial" w:cs="Arial"/>
          <w:b/>
          <w:i/>
          <w:iCs/>
          <w:sz w:val="20"/>
          <w:szCs w:val="20"/>
        </w:rPr>
      </w:pPr>
      <w:r>
        <w:rPr>
          <w:rFonts w:ascii="Arial" w:hAnsi="Arial" w:cs="Arial"/>
          <w:b/>
          <w:sz w:val="20"/>
          <w:szCs w:val="20"/>
        </w:rPr>
        <w:t xml:space="preserve">DEPARTURES FROM "MUST" AND "SHOULD" STANDARDS IN THE </w:t>
      </w:r>
      <w:r>
        <w:rPr>
          <w:rFonts w:ascii="Arial" w:hAnsi="Arial" w:cs="Arial"/>
          <w:b/>
          <w:i/>
          <w:iCs/>
          <w:sz w:val="20"/>
          <w:szCs w:val="20"/>
        </w:rPr>
        <w:t>GUIDE (2011)</w:t>
      </w:r>
    </w:p>
    <w:p w:rsidR="002A7EB1" w:rsidRDefault="002A7EB1" w:rsidP="002A7EB1">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VERSION 4</w:t>
      </w:r>
    </w:p>
    <w:p w:rsidR="002A7EB1" w:rsidRDefault="002A7EB1" w:rsidP="002A7EB1">
      <w:pPr>
        <w:autoSpaceDE w:val="0"/>
        <w:autoSpaceDN w:val="0"/>
        <w:adjustRightInd w:val="0"/>
        <w:spacing w:after="0" w:line="240" w:lineRule="auto"/>
        <w:rPr>
          <w:rFonts w:ascii="Arial" w:hAnsi="Arial" w:cs="Arial"/>
          <w:sz w:val="20"/>
          <w:szCs w:val="20"/>
        </w:rPr>
      </w:pPr>
      <w:r>
        <w:rPr>
          <w:rFonts w:ascii="Arial" w:hAnsi="Arial" w:cs="Arial"/>
          <w:sz w:val="20"/>
          <w:szCs w:val="20"/>
        </w:rPr>
        <w:t>See ACORP App. 9 Instructions, for more detailed explanations of the information requested.</w:t>
      </w:r>
    </w:p>
    <w:p w:rsidR="002A7EB1" w:rsidRDefault="002A7EB1" w:rsidP="002A7EB1">
      <w:pPr>
        <w:autoSpaceDE w:val="0"/>
        <w:autoSpaceDN w:val="0"/>
        <w:adjustRightInd w:val="0"/>
        <w:spacing w:after="0" w:line="240" w:lineRule="auto"/>
        <w:rPr>
          <w:rFonts w:ascii="Arial" w:hAnsi="Arial" w:cs="Arial"/>
          <w:sz w:val="20"/>
          <w:szCs w:val="20"/>
        </w:rPr>
      </w:pPr>
    </w:p>
    <w:p w:rsidR="002A7EB1" w:rsidRDefault="002A7EB1" w:rsidP="002A7EB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each IACUC-approved "departure" of this protocol from a "Must" or "Should" standard in the </w:t>
      </w:r>
      <w:r>
        <w:rPr>
          <w:rFonts w:ascii="Arial" w:hAnsi="Arial" w:cs="Arial"/>
          <w:i/>
          <w:iCs/>
          <w:sz w:val="20"/>
          <w:szCs w:val="20"/>
        </w:rPr>
        <w:t xml:space="preserve">Guide, </w:t>
      </w:r>
      <w:r>
        <w:rPr>
          <w:rFonts w:ascii="Arial" w:hAnsi="Arial" w:cs="Arial"/>
          <w:sz w:val="20"/>
          <w:szCs w:val="20"/>
        </w:rPr>
        <w:t>provide the following information. (Consult the IACUC or the Attending Veterinarian for help in determining whether any "departures" are involved.):</w:t>
      </w:r>
    </w:p>
    <w:p w:rsidR="002A7EB1" w:rsidRDefault="002A7EB1" w:rsidP="002A7EB1">
      <w:pPr>
        <w:autoSpaceDE w:val="0"/>
        <w:autoSpaceDN w:val="0"/>
        <w:adjustRightInd w:val="0"/>
        <w:spacing w:after="0" w:line="240" w:lineRule="auto"/>
        <w:rPr>
          <w:rFonts w:ascii="Arial" w:hAnsi="Arial" w:cs="Arial"/>
          <w:sz w:val="20"/>
          <w:szCs w:val="20"/>
        </w:rPr>
      </w:pPr>
    </w:p>
    <w:p w:rsidR="002A7EB1" w:rsidRDefault="002A7EB1" w:rsidP="002A7EB1">
      <w:pPr>
        <w:rPr>
          <w:rFonts w:ascii="Arial" w:hAnsi="Arial" w:cs="Arial"/>
          <w:sz w:val="20"/>
          <w:szCs w:val="20"/>
        </w:rPr>
      </w:pPr>
      <w:r>
        <w:rPr>
          <w:rFonts w:ascii="Arial" w:hAnsi="Arial" w:cs="Arial"/>
          <w:sz w:val="20"/>
          <w:szCs w:val="20"/>
        </w:rPr>
        <w:t>Copy the lines below for each departure.</w:t>
      </w:r>
    </w:p>
    <w:p w:rsidR="002A7EB1" w:rsidRDefault="002A7EB1" w:rsidP="002A7EB1">
      <w:pPr>
        <w:autoSpaceDE w:val="0"/>
        <w:autoSpaceDN w:val="0"/>
        <w:adjustRightInd w:val="0"/>
        <w:spacing w:after="0" w:line="240" w:lineRule="auto"/>
        <w:rPr>
          <w:rFonts w:ascii="Arial" w:hAnsi="Arial" w:cs="Arial"/>
          <w:i/>
          <w:iCs/>
          <w:sz w:val="20"/>
          <w:szCs w:val="20"/>
        </w:rPr>
      </w:pPr>
      <w:r>
        <w:rPr>
          <w:rFonts w:ascii="Arial" w:hAnsi="Arial" w:cs="Arial"/>
          <w:sz w:val="20"/>
          <w:szCs w:val="20"/>
        </w:rPr>
        <w:t xml:space="preserve">Briefly summarize the "Must" or "Should" standard, and provide the number(s) of the page(s) on which it appears in the </w:t>
      </w:r>
      <w:r>
        <w:rPr>
          <w:rFonts w:ascii="Arial" w:hAnsi="Arial" w:cs="Arial"/>
          <w:i/>
          <w:iCs/>
          <w:sz w:val="20"/>
          <w:szCs w:val="20"/>
        </w:rPr>
        <w:t>Guide.</w:t>
      </w:r>
    </w:p>
    <w:p w:rsidR="002A7EB1" w:rsidRDefault="002A7EB1" w:rsidP="002A7EB1">
      <w:pPr>
        <w:autoSpaceDE w:val="0"/>
        <w:autoSpaceDN w:val="0"/>
        <w:adjustRightInd w:val="0"/>
        <w:spacing w:after="0" w:line="240" w:lineRule="auto"/>
        <w:rPr>
          <w:rFonts w:ascii="Arial" w:hAnsi="Arial" w:cs="Arial"/>
          <w:sz w:val="20"/>
          <w:szCs w:val="20"/>
        </w:rPr>
      </w:pPr>
    </w:p>
    <w:p w:rsidR="002A7EB1" w:rsidRDefault="002A7EB1" w:rsidP="002A7EB1">
      <w:pPr>
        <w:autoSpaceDE w:val="0"/>
        <w:autoSpaceDN w:val="0"/>
        <w:adjustRightInd w:val="0"/>
        <w:spacing w:after="0" w:line="240" w:lineRule="auto"/>
        <w:rPr>
          <w:rFonts w:ascii="Arial" w:eastAsiaTheme="minorHAnsi" w:hAnsi="Arial" w:cs="Arial"/>
          <w:sz w:val="20"/>
          <w:szCs w:val="20"/>
        </w:rPr>
      </w:pPr>
    </w:p>
    <w:p w:rsidR="002A7EB1" w:rsidRDefault="002A7EB1" w:rsidP="002A7EB1">
      <w:pPr>
        <w:autoSpaceDE w:val="0"/>
        <w:autoSpaceDN w:val="0"/>
        <w:adjustRightInd w:val="0"/>
        <w:spacing w:after="0" w:line="240" w:lineRule="auto"/>
        <w:rPr>
          <w:rFonts w:ascii="Arial" w:hAnsi="Arial" w:cs="Arial"/>
          <w:b/>
          <w:sz w:val="20"/>
          <w:szCs w:val="20"/>
        </w:rPr>
      </w:pPr>
      <w:r>
        <w:rPr>
          <w:rFonts w:ascii="Arial" w:hAnsi="Arial" w:cs="Arial"/>
          <w:b/>
          <w:bCs/>
          <w:sz w:val="20"/>
          <w:szCs w:val="20"/>
        </w:rPr>
        <w:t>►</w:t>
      </w:r>
      <w:r>
        <w:rPr>
          <w:rFonts w:ascii="Arial" w:hAnsi="Arial" w:cs="Arial"/>
          <w:b/>
          <w:sz w:val="20"/>
          <w:szCs w:val="20"/>
        </w:rPr>
        <w:t xml:space="preserve">Social animals should be housed in pairs or groups. Chapter 3, Page 51. </w:t>
      </w:r>
    </w:p>
    <w:p w:rsidR="002A7EB1" w:rsidRDefault="002A7EB1" w:rsidP="002A7EB1">
      <w:pPr>
        <w:autoSpaceDE w:val="0"/>
        <w:autoSpaceDN w:val="0"/>
        <w:adjustRightInd w:val="0"/>
        <w:spacing w:after="0" w:line="240" w:lineRule="auto"/>
        <w:rPr>
          <w:rFonts w:ascii="Arial" w:hAnsi="Arial" w:cs="Arial"/>
          <w:b/>
          <w:color w:val="C0504D" w:themeColor="accent2"/>
          <w:sz w:val="20"/>
          <w:szCs w:val="20"/>
        </w:rPr>
      </w:pPr>
    </w:p>
    <w:p w:rsidR="002A7EB1" w:rsidRDefault="002A7EB1" w:rsidP="002A7EB1">
      <w:pPr>
        <w:rPr>
          <w:rFonts w:ascii="Arial" w:eastAsiaTheme="minorHAnsi" w:hAnsi="Arial" w:cs="Arial"/>
          <w:b/>
          <w:color w:val="C0504D" w:themeColor="accent2"/>
          <w:sz w:val="20"/>
          <w:szCs w:val="20"/>
        </w:rPr>
      </w:pPr>
      <w:r>
        <w:rPr>
          <w:rFonts w:ascii="Arial" w:hAnsi="Arial" w:cs="Arial"/>
          <w:b/>
          <w:color w:val="C0504D" w:themeColor="accent2"/>
          <w:sz w:val="20"/>
          <w:szCs w:val="20"/>
        </w:rPr>
        <w:t xml:space="preserve">The quote is incomplete. The full sentence is:  “Social animals should be housed in stable pairs or groups of compatible individuals </w:t>
      </w:r>
      <w:r w:rsidRPr="00F25FE1">
        <w:rPr>
          <w:rFonts w:ascii="Arial" w:hAnsi="Arial" w:cs="Arial"/>
          <w:b/>
          <w:color w:val="C0504D" w:themeColor="accent2"/>
          <w:sz w:val="20"/>
          <w:szCs w:val="20"/>
          <w:highlight w:val="yellow"/>
          <w:u w:val="single"/>
        </w:rPr>
        <w:t>unless</w:t>
      </w:r>
      <w:r w:rsidRPr="00F25FE1">
        <w:rPr>
          <w:rFonts w:ascii="Arial" w:hAnsi="Arial" w:cs="Arial"/>
          <w:b/>
          <w:color w:val="C0504D" w:themeColor="accent2"/>
          <w:sz w:val="20"/>
          <w:szCs w:val="20"/>
          <w:u w:val="single"/>
        </w:rPr>
        <w:t xml:space="preserve"> </w:t>
      </w:r>
      <w:r>
        <w:rPr>
          <w:rFonts w:ascii="Arial" w:hAnsi="Arial" w:cs="Arial"/>
          <w:b/>
          <w:color w:val="C0504D" w:themeColor="accent2"/>
          <w:sz w:val="20"/>
          <w:szCs w:val="20"/>
          <w:u w:val="single"/>
        </w:rPr>
        <w:t>they must be housed alone for experimental reasons or because of social incompatibility</w:t>
      </w:r>
      <w:r>
        <w:rPr>
          <w:rFonts w:ascii="Arial" w:hAnsi="Arial" w:cs="Arial"/>
          <w:b/>
          <w:color w:val="C0504D" w:themeColor="accent2"/>
          <w:sz w:val="20"/>
          <w:szCs w:val="20"/>
        </w:rPr>
        <w:t xml:space="preserve"> (see also section on Behavioral and Social Management).” </w:t>
      </w:r>
    </w:p>
    <w:p w:rsidR="002A7EB1" w:rsidRDefault="002A7EB1" w:rsidP="002A7EB1">
      <w:pPr>
        <w:autoSpaceDE w:val="0"/>
        <w:autoSpaceDN w:val="0"/>
        <w:adjustRightInd w:val="0"/>
        <w:spacing w:after="0" w:line="240" w:lineRule="auto"/>
        <w:rPr>
          <w:rFonts w:ascii="Arial" w:hAnsi="Arial" w:cs="Arial"/>
          <w:color w:val="545454"/>
          <w:sz w:val="21"/>
          <w:szCs w:val="21"/>
        </w:rPr>
      </w:pPr>
    </w:p>
    <w:p w:rsidR="002A7EB1" w:rsidRDefault="002A7EB1" w:rsidP="002A7EB1">
      <w:pPr>
        <w:autoSpaceDE w:val="0"/>
        <w:autoSpaceDN w:val="0"/>
        <w:adjustRightInd w:val="0"/>
        <w:spacing w:after="0" w:line="240" w:lineRule="auto"/>
        <w:rPr>
          <w:rFonts w:ascii="Arial" w:hAnsi="Arial" w:cs="Arial"/>
          <w:color w:val="9B9B9B"/>
          <w:sz w:val="21"/>
          <w:szCs w:val="21"/>
        </w:rPr>
      </w:pPr>
      <w:r>
        <w:rPr>
          <w:rFonts w:ascii="Arial" w:hAnsi="Arial" w:cs="Arial"/>
          <w:color w:val="545454"/>
          <w:sz w:val="21"/>
          <w:szCs w:val="21"/>
        </w:rPr>
        <w:t>Describe the specific alternate standard(s) tha</w:t>
      </w:r>
      <w:r w:rsidR="00EB39D5">
        <w:rPr>
          <w:rFonts w:ascii="Arial" w:hAnsi="Arial" w:cs="Arial"/>
          <w:color w:val="545454"/>
          <w:sz w:val="21"/>
          <w:szCs w:val="21"/>
        </w:rPr>
        <w:t xml:space="preserve">t will be met on this protocol </w:t>
      </w:r>
      <w:r>
        <w:rPr>
          <w:rFonts w:ascii="Arial" w:hAnsi="Arial" w:cs="Arial"/>
          <w:color w:val="545454"/>
          <w:sz w:val="21"/>
          <w:szCs w:val="21"/>
        </w:rPr>
        <w:t xml:space="preserve">and how they </w:t>
      </w:r>
      <w:r>
        <w:rPr>
          <w:rFonts w:ascii="Arial" w:hAnsi="Arial" w:cs="Arial"/>
          <w:color w:val="444444"/>
          <w:sz w:val="21"/>
          <w:szCs w:val="21"/>
        </w:rPr>
        <w:t>will be mon</w:t>
      </w:r>
      <w:r>
        <w:rPr>
          <w:rFonts w:ascii="Arial" w:hAnsi="Arial" w:cs="Arial"/>
          <w:color w:val="6A6A6A"/>
          <w:sz w:val="21"/>
          <w:szCs w:val="21"/>
        </w:rPr>
        <w:t>itored.</w:t>
      </w:r>
    </w:p>
    <w:p w:rsidR="002A7EB1" w:rsidRDefault="002A7EB1" w:rsidP="002A7EB1">
      <w:pPr>
        <w:autoSpaceDE w:val="0"/>
        <w:autoSpaceDN w:val="0"/>
        <w:adjustRightInd w:val="0"/>
        <w:spacing w:after="0" w:line="240" w:lineRule="auto"/>
        <w:rPr>
          <w:rFonts w:ascii="Arial" w:eastAsiaTheme="minorHAnsi" w:hAnsi="Arial" w:cs="Arial"/>
          <w:sz w:val="20"/>
          <w:szCs w:val="20"/>
        </w:rPr>
      </w:pPr>
    </w:p>
    <w:p w:rsidR="002A7EB1" w:rsidRDefault="002A7EB1" w:rsidP="002A7EB1">
      <w:pPr>
        <w:autoSpaceDE w:val="0"/>
        <w:autoSpaceDN w:val="0"/>
        <w:adjustRightInd w:val="0"/>
        <w:spacing w:after="0" w:line="240" w:lineRule="auto"/>
        <w:rPr>
          <w:rFonts w:ascii="Arial" w:hAnsi="Arial" w:cs="Arial"/>
          <w:b/>
          <w:sz w:val="21"/>
          <w:szCs w:val="21"/>
        </w:rPr>
      </w:pPr>
      <w:r>
        <w:rPr>
          <w:rFonts w:ascii="Arial" w:hAnsi="Arial" w:cs="Arial"/>
          <w:b/>
          <w:bCs/>
          <w:sz w:val="20"/>
          <w:szCs w:val="20"/>
        </w:rPr>
        <w:t>►</w:t>
      </w:r>
      <w:r>
        <w:rPr>
          <w:rFonts w:ascii="Arial" w:hAnsi="Arial" w:cs="Arial"/>
          <w:b/>
          <w:sz w:val="21"/>
          <w:szCs w:val="21"/>
        </w:rPr>
        <w:t>Mice will be single housed: males after breeding. any animal fighting, those in nesting studies, those in running wheel studies.</w:t>
      </w:r>
    </w:p>
    <w:p w:rsidR="002A7EB1" w:rsidRDefault="002A7EB1" w:rsidP="002A7EB1">
      <w:pPr>
        <w:autoSpaceDE w:val="0"/>
        <w:autoSpaceDN w:val="0"/>
        <w:adjustRightInd w:val="0"/>
        <w:spacing w:after="0" w:line="240" w:lineRule="auto"/>
        <w:rPr>
          <w:rFonts w:asciiTheme="minorHAnsi" w:hAnsiTheme="minorHAnsi" w:cs="Arial"/>
          <w:b/>
          <w:color w:val="C0504D" w:themeColor="accent2"/>
          <w:sz w:val="21"/>
          <w:szCs w:val="21"/>
        </w:rPr>
      </w:pPr>
    </w:p>
    <w:p w:rsidR="002A7EB1" w:rsidRDefault="002A7EB1" w:rsidP="002A7EB1">
      <w:pPr>
        <w:autoSpaceDE w:val="0"/>
        <w:autoSpaceDN w:val="0"/>
        <w:adjustRightInd w:val="0"/>
        <w:spacing w:after="0" w:line="240" w:lineRule="auto"/>
        <w:rPr>
          <w:rFonts w:ascii="Arial" w:eastAsiaTheme="minorHAnsi" w:hAnsi="Arial" w:cs="Arial"/>
          <w:b/>
          <w:color w:val="C0504D" w:themeColor="accent2"/>
          <w:sz w:val="20"/>
          <w:szCs w:val="20"/>
          <w:lang w:val="en"/>
        </w:rPr>
      </w:pPr>
      <w:r>
        <w:rPr>
          <w:rFonts w:ascii="Arial" w:hAnsi="Arial" w:cs="Arial"/>
          <w:b/>
          <w:color w:val="C0504D" w:themeColor="accent2"/>
          <w:sz w:val="20"/>
          <w:szCs w:val="20"/>
          <w:lang w:val="en"/>
        </w:rPr>
        <w:t xml:space="preserve">The rationale shown above is consistent with a deviation from a </w:t>
      </w:r>
      <w:r w:rsidR="00EB39D5">
        <w:rPr>
          <w:rFonts w:ascii="Arial" w:hAnsi="Arial" w:cs="Arial"/>
          <w:b/>
          <w:color w:val="C0504D" w:themeColor="accent2"/>
          <w:sz w:val="20"/>
          <w:szCs w:val="20"/>
          <w:lang w:val="en"/>
        </w:rPr>
        <w:t>“</w:t>
      </w:r>
      <w:r>
        <w:rPr>
          <w:rFonts w:ascii="Arial" w:hAnsi="Arial" w:cs="Arial"/>
          <w:b/>
          <w:color w:val="C0504D" w:themeColor="accent2"/>
          <w:sz w:val="20"/>
          <w:szCs w:val="20"/>
          <w:lang w:val="en"/>
        </w:rPr>
        <w:t>should</w:t>
      </w:r>
      <w:r w:rsidR="00EB39D5">
        <w:rPr>
          <w:rFonts w:ascii="Arial" w:hAnsi="Arial" w:cs="Arial"/>
          <w:b/>
          <w:color w:val="C0504D" w:themeColor="accent2"/>
          <w:sz w:val="20"/>
          <w:szCs w:val="20"/>
          <w:lang w:val="en"/>
        </w:rPr>
        <w:t>”</w:t>
      </w:r>
      <w:r>
        <w:rPr>
          <w:rFonts w:ascii="Arial" w:hAnsi="Arial" w:cs="Arial"/>
          <w:b/>
          <w:color w:val="C0504D" w:themeColor="accent2"/>
          <w:sz w:val="20"/>
          <w:szCs w:val="20"/>
          <w:lang w:val="en"/>
        </w:rPr>
        <w:t xml:space="preserve"> statement according to a specifically established exception in the </w:t>
      </w:r>
      <w:r>
        <w:rPr>
          <w:rStyle w:val="Emphasis"/>
          <w:rFonts w:ascii="Arial" w:hAnsi="Arial" w:cs="Arial"/>
          <w:b/>
          <w:color w:val="C0504D" w:themeColor="accent2"/>
          <w:sz w:val="20"/>
          <w:szCs w:val="20"/>
          <w:lang w:val="en"/>
        </w:rPr>
        <w:t xml:space="preserve">Guide </w:t>
      </w:r>
      <w:r>
        <w:rPr>
          <w:rFonts w:ascii="Arial" w:hAnsi="Arial" w:cs="Arial"/>
          <w:b/>
          <w:color w:val="C0504D" w:themeColor="accent2"/>
          <w:sz w:val="20"/>
          <w:szCs w:val="20"/>
          <w:lang w:val="en"/>
        </w:rPr>
        <w:t xml:space="preserve">(experimental reasons and social incompatibility). </w:t>
      </w:r>
    </w:p>
    <w:p w:rsidR="002A7EB1" w:rsidRDefault="002A7EB1" w:rsidP="002A7EB1">
      <w:pPr>
        <w:autoSpaceDE w:val="0"/>
        <w:autoSpaceDN w:val="0"/>
        <w:adjustRightInd w:val="0"/>
        <w:spacing w:after="0" w:line="240" w:lineRule="auto"/>
        <w:rPr>
          <w:rFonts w:ascii="Arial" w:hAnsi="Arial" w:cs="Arial"/>
          <w:color w:val="545454"/>
          <w:sz w:val="21"/>
          <w:szCs w:val="21"/>
        </w:rPr>
      </w:pPr>
    </w:p>
    <w:p w:rsidR="002A7EB1" w:rsidRDefault="002A7EB1" w:rsidP="002A7EB1">
      <w:pPr>
        <w:autoSpaceDE w:val="0"/>
        <w:autoSpaceDN w:val="0"/>
        <w:adjustRightInd w:val="0"/>
        <w:spacing w:after="0" w:line="240" w:lineRule="auto"/>
        <w:rPr>
          <w:rFonts w:ascii="Arial" w:hAnsi="Arial" w:cs="Arial"/>
          <w:color w:val="444444"/>
          <w:sz w:val="21"/>
          <w:szCs w:val="21"/>
        </w:rPr>
      </w:pPr>
      <w:r>
        <w:rPr>
          <w:rFonts w:ascii="Arial" w:hAnsi="Arial" w:cs="Arial"/>
          <w:color w:val="545454"/>
          <w:sz w:val="21"/>
          <w:szCs w:val="21"/>
        </w:rPr>
        <w:t xml:space="preserve">Provide </w:t>
      </w:r>
      <w:r>
        <w:rPr>
          <w:rFonts w:ascii="Arial" w:hAnsi="Arial" w:cs="Arial"/>
          <w:color w:val="444444"/>
          <w:sz w:val="21"/>
          <w:szCs w:val="21"/>
        </w:rPr>
        <w:t xml:space="preserve">the </w:t>
      </w:r>
      <w:r>
        <w:rPr>
          <w:rFonts w:ascii="Arial" w:hAnsi="Arial" w:cs="Arial"/>
          <w:color w:val="545454"/>
          <w:sz w:val="21"/>
          <w:szCs w:val="21"/>
        </w:rPr>
        <w:t xml:space="preserve">scientific, </w:t>
      </w:r>
      <w:r>
        <w:rPr>
          <w:rFonts w:ascii="Arial" w:hAnsi="Arial" w:cs="Arial"/>
          <w:color w:val="444444"/>
          <w:sz w:val="21"/>
          <w:szCs w:val="21"/>
        </w:rPr>
        <w:t xml:space="preserve">veterinary </w:t>
      </w:r>
      <w:r>
        <w:rPr>
          <w:rFonts w:ascii="Arial" w:hAnsi="Arial" w:cs="Arial"/>
          <w:color w:val="545454"/>
          <w:sz w:val="21"/>
          <w:szCs w:val="21"/>
        </w:rPr>
        <w:t xml:space="preserve">medical or </w:t>
      </w:r>
      <w:r>
        <w:rPr>
          <w:rFonts w:ascii="Arial" w:hAnsi="Arial" w:cs="Arial"/>
          <w:color w:val="444444"/>
          <w:sz w:val="21"/>
          <w:szCs w:val="21"/>
        </w:rPr>
        <w:t xml:space="preserve">animal welfare considerations that </w:t>
      </w:r>
      <w:r>
        <w:rPr>
          <w:rFonts w:ascii="Arial" w:hAnsi="Arial" w:cs="Arial"/>
          <w:color w:val="545454"/>
          <w:sz w:val="21"/>
          <w:szCs w:val="21"/>
        </w:rPr>
        <w:t xml:space="preserve">justify this </w:t>
      </w:r>
      <w:r>
        <w:rPr>
          <w:rFonts w:ascii="Arial" w:hAnsi="Arial" w:cs="Arial"/>
          <w:color w:val="444444"/>
          <w:sz w:val="21"/>
          <w:szCs w:val="21"/>
        </w:rPr>
        <w:t>departure</w:t>
      </w:r>
    </w:p>
    <w:p w:rsidR="002A7EB1" w:rsidRDefault="002A7EB1" w:rsidP="002A7EB1">
      <w:pPr>
        <w:autoSpaceDE w:val="0"/>
        <w:autoSpaceDN w:val="0"/>
        <w:adjustRightInd w:val="0"/>
        <w:spacing w:after="0" w:line="240" w:lineRule="auto"/>
        <w:rPr>
          <w:rFonts w:ascii="Arial" w:hAnsi="Arial" w:cs="Arial"/>
          <w:color w:val="444444"/>
          <w:sz w:val="21"/>
          <w:szCs w:val="21"/>
        </w:rPr>
      </w:pPr>
    </w:p>
    <w:p w:rsidR="002A7EB1" w:rsidRDefault="002A7EB1" w:rsidP="002A7EB1">
      <w:pPr>
        <w:autoSpaceDE w:val="0"/>
        <w:autoSpaceDN w:val="0"/>
        <w:adjustRightInd w:val="0"/>
        <w:spacing w:after="0" w:line="240" w:lineRule="auto"/>
        <w:rPr>
          <w:rFonts w:ascii="Arial" w:eastAsiaTheme="minorHAnsi" w:hAnsi="Arial" w:cs="Arial"/>
          <w:color w:val="C0504D" w:themeColor="accent2"/>
          <w:sz w:val="20"/>
          <w:szCs w:val="20"/>
        </w:rPr>
      </w:pPr>
    </w:p>
    <w:p w:rsidR="002A7EB1" w:rsidRDefault="002A7EB1" w:rsidP="002A7EB1">
      <w:pPr>
        <w:autoSpaceDE w:val="0"/>
        <w:autoSpaceDN w:val="0"/>
        <w:adjustRightInd w:val="0"/>
        <w:spacing w:after="0" w:line="240" w:lineRule="auto"/>
        <w:rPr>
          <w:rFonts w:ascii="Arial" w:hAnsi="Arial" w:cs="Arial"/>
          <w:b/>
          <w:sz w:val="21"/>
          <w:szCs w:val="21"/>
        </w:rPr>
      </w:pPr>
      <w:r>
        <w:rPr>
          <w:rFonts w:ascii="Arial" w:hAnsi="Arial" w:cs="Arial"/>
          <w:b/>
          <w:bCs/>
          <w:sz w:val="20"/>
          <w:szCs w:val="20"/>
        </w:rPr>
        <w:t>►</w:t>
      </w:r>
      <w:r>
        <w:rPr>
          <w:rFonts w:ascii="Arial" w:hAnsi="Arial" w:cs="Arial"/>
          <w:b/>
          <w:sz w:val="21"/>
          <w:szCs w:val="21"/>
        </w:rPr>
        <w:t>After having been single housed, male mice routinely fight when social housing is attempted. Single housing is required during running wheel studies because data is collected from a single animal; the instrument cannot distinguish between animals. Nesting study m</w:t>
      </w:r>
      <w:r w:rsidR="00E070E3">
        <w:rPr>
          <w:rFonts w:ascii="Arial" w:hAnsi="Arial" w:cs="Arial"/>
          <w:b/>
          <w:sz w:val="21"/>
          <w:szCs w:val="21"/>
        </w:rPr>
        <w:t>ice are only singly to score nex</w:t>
      </w:r>
      <w:r>
        <w:rPr>
          <w:rFonts w:ascii="Arial" w:hAnsi="Arial" w:cs="Arial"/>
          <w:b/>
          <w:sz w:val="21"/>
          <w:szCs w:val="21"/>
        </w:rPr>
        <w:t>t building; they are housed very briefly (less than 24 h). Nesting animals may be rehoused with cagemates when testing is completed.</w:t>
      </w:r>
    </w:p>
    <w:p w:rsidR="002A7EB1" w:rsidRDefault="002A7EB1" w:rsidP="002A7EB1">
      <w:pPr>
        <w:autoSpaceDE w:val="0"/>
        <w:autoSpaceDN w:val="0"/>
        <w:adjustRightInd w:val="0"/>
        <w:spacing w:after="0" w:line="240" w:lineRule="auto"/>
        <w:jc w:val="center"/>
        <w:rPr>
          <w:rFonts w:ascii="Arial" w:eastAsiaTheme="minorHAnsi" w:hAnsi="Arial" w:cs="Arial"/>
          <w:b/>
          <w:bCs/>
          <w:color w:val="C0504D" w:themeColor="accent2"/>
          <w:sz w:val="20"/>
          <w:szCs w:val="20"/>
        </w:rPr>
      </w:pPr>
    </w:p>
    <w:p w:rsidR="002A7EB1" w:rsidRDefault="00F25FE1" w:rsidP="002A7EB1">
      <w:pPr>
        <w:autoSpaceDE w:val="0"/>
        <w:autoSpaceDN w:val="0"/>
        <w:adjustRightInd w:val="0"/>
        <w:spacing w:after="0" w:line="240" w:lineRule="auto"/>
        <w:rPr>
          <w:rFonts w:ascii="Arial" w:hAnsi="Arial" w:cs="Arial"/>
          <w:b/>
          <w:color w:val="C0504D" w:themeColor="accent2"/>
          <w:sz w:val="20"/>
          <w:szCs w:val="20"/>
          <w:lang w:val="en"/>
        </w:rPr>
      </w:pPr>
      <w:r>
        <w:rPr>
          <w:rFonts w:ascii="Arial" w:hAnsi="Arial" w:cs="Arial"/>
          <w:b/>
          <w:color w:val="C0504D" w:themeColor="accent2"/>
          <w:sz w:val="20"/>
          <w:szCs w:val="20"/>
          <w:lang w:val="en"/>
        </w:rPr>
        <w:t>The investigator has provided justification for why it is necessary to house the mice singly.  The reasons given are social incompatibility (fighting males) and experimental requirements (</w:t>
      </w:r>
      <w:r w:rsidR="00EB39D5">
        <w:rPr>
          <w:rFonts w:ascii="Arial" w:hAnsi="Arial" w:cs="Arial"/>
          <w:b/>
          <w:color w:val="C0504D" w:themeColor="accent2"/>
          <w:sz w:val="20"/>
          <w:szCs w:val="20"/>
          <w:lang w:val="en"/>
        </w:rPr>
        <w:t xml:space="preserve">running wheels and </w:t>
      </w:r>
      <w:r>
        <w:rPr>
          <w:rFonts w:ascii="Arial" w:hAnsi="Arial" w:cs="Arial"/>
          <w:b/>
          <w:color w:val="C0504D" w:themeColor="accent2"/>
          <w:sz w:val="20"/>
          <w:szCs w:val="20"/>
          <w:lang w:val="en"/>
        </w:rPr>
        <w:t xml:space="preserve">nest building).  </w:t>
      </w:r>
      <w:r w:rsidR="00EB39D5">
        <w:rPr>
          <w:rFonts w:ascii="Arial" w:hAnsi="Arial" w:cs="Arial"/>
          <w:b/>
          <w:color w:val="C0504D" w:themeColor="accent2"/>
          <w:sz w:val="20"/>
          <w:szCs w:val="20"/>
          <w:lang w:val="en"/>
        </w:rPr>
        <w:t xml:space="preserve">The IACUC approved the investigator’s justification.  </w:t>
      </w:r>
      <w:r w:rsidR="002A7EB1">
        <w:rPr>
          <w:rFonts w:ascii="Arial" w:hAnsi="Arial" w:cs="Arial"/>
          <w:b/>
          <w:color w:val="C0504D" w:themeColor="accent2"/>
          <w:sz w:val="20"/>
          <w:szCs w:val="20"/>
          <w:lang w:val="en"/>
        </w:rPr>
        <w:t xml:space="preserve">Exceptions are not departures from the </w:t>
      </w:r>
      <w:r w:rsidR="002A7EB1">
        <w:rPr>
          <w:rStyle w:val="Emphasis"/>
          <w:rFonts w:ascii="Arial" w:hAnsi="Arial" w:cs="Arial"/>
          <w:b/>
          <w:color w:val="C0504D" w:themeColor="accent2"/>
          <w:sz w:val="20"/>
          <w:szCs w:val="20"/>
          <w:lang w:val="en"/>
        </w:rPr>
        <w:t>Guide</w:t>
      </w:r>
      <w:r w:rsidR="002A7EB1">
        <w:rPr>
          <w:rFonts w:ascii="Arial" w:hAnsi="Arial" w:cs="Arial"/>
          <w:b/>
          <w:color w:val="C0504D" w:themeColor="accent2"/>
          <w:sz w:val="20"/>
          <w:szCs w:val="20"/>
          <w:lang w:val="en"/>
        </w:rPr>
        <w:t xml:space="preserve"> and have no reporting requirements.  Appendix 9 is not needed and should be deleted from the ACORP.  </w:t>
      </w:r>
    </w:p>
    <w:p w:rsidR="00F25FE1" w:rsidRDefault="00F25FE1" w:rsidP="002A7EB1">
      <w:pPr>
        <w:autoSpaceDE w:val="0"/>
        <w:autoSpaceDN w:val="0"/>
        <w:adjustRightInd w:val="0"/>
        <w:spacing w:after="0" w:line="240" w:lineRule="auto"/>
        <w:rPr>
          <w:rFonts w:ascii="Arial" w:hAnsi="Arial" w:cs="Arial"/>
          <w:b/>
          <w:color w:val="C0504D" w:themeColor="accent2"/>
          <w:sz w:val="20"/>
          <w:szCs w:val="20"/>
          <w:lang w:val="en"/>
        </w:rPr>
      </w:pPr>
    </w:p>
    <w:p w:rsidR="00F25FE1" w:rsidRPr="00687D6F" w:rsidRDefault="00F25FE1" w:rsidP="002A7EB1">
      <w:pPr>
        <w:autoSpaceDE w:val="0"/>
        <w:autoSpaceDN w:val="0"/>
        <w:adjustRightInd w:val="0"/>
        <w:spacing w:after="0" w:line="240" w:lineRule="auto"/>
        <w:rPr>
          <w:rFonts w:asciiTheme="minorHAnsi" w:hAnsiTheme="minorHAnsi" w:cs="Arial"/>
          <w:color w:val="1F497D" w:themeColor="text2"/>
        </w:rPr>
      </w:pPr>
      <w:r w:rsidRPr="00E070E3">
        <w:rPr>
          <w:rFonts w:ascii="Arial" w:hAnsi="Arial" w:cs="Arial"/>
          <w:color w:val="1F497D" w:themeColor="text2"/>
          <w:sz w:val="20"/>
          <w:szCs w:val="20"/>
        </w:rPr>
        <w:t>____________________________________________________________________________________</w:t>
      </w:r>
      <w:r w:rsidRPr="00E070E3">
        <w:rPr>
          <w:rFonts w:asciiTheme="minorHAnsi" w:hAnsiTheme="minorHAnsi" w:cs="Arial"/>
          <w:color w:val="1F497D" w:themeColor="text2"/>
          <w:sz w:val="24"/>
          <w:szCs w:val="24"/>
        </w:rPr>
        <w:t xml:space="preserve">The next page provides a list of specifically established exceptions to the </w:t>
      </w:r>
      <w:r w:rsidRPr="00E070E3">
        <w:rPr>
          <w:rFonts w:asciiTheme="minorHAnsi" w:hAnsiTheme="minorHAnsi" w:cs="Arial"/>
          <w:i/>
          <w:color w:val="1F497D" w:themeColor="text2"/>
          <w:sz w:val="24"/>
          <w:szCs w:val="24"/>
        </w:rPr>
        <w:t>Guide</w:t>
      </w:r>
      <w:r w:rsidRPr="00E070E3">
        <w:rPr>
          <w:rFonts w:asciiTheme="minorHAnsi" w:hAnsiTheme="minorHAnsi" w:cs="Arial"/>
          <w:color w:val="1F497D" w:themeColor="text2"/>
          <w:sz w:val="24"/>
          <w:szCs w:val="24"/>
        </w:rPr>
        <w:t>; please not</w:t>
      </w:r>
      <w:r w:rsidR="00687D6F" w:rsidRPr="00E070E3">
        <w:rPr>
          <w:rFonts w:asciiTheme="minorHAnsi" w:hAnsiTheme="minorHAnsi" w:cs="Arial"/>
          <w:color w:val="1F497D" w:themeColor="text2"/>
          <w:sz w:val="24"/>
          <w:szCs w:val="24"/>
        </w:rPr>
        <w:t>e</w:t>
      </w:r>
      <w:r w:rsidRPr="00E070E3">
        <w:rPr>
          <w:rFonts w:asciiTheme="minorHAnsi" w:hAnsiTheme="minorHAnsi" w:cs="Arial"/>
          <w:color w:val="1F497D" w:themeColor="text2"/>
          <w:sz w:val="24"/>
          <w:szCs w:val="24"/>
        </w:rPr>
        <w:t xml:space="preserve"> the list is not necessarily all inclusive.</w:t>
      </w:r>
    </w:p>
    <w:p w:rsidR="002A7EB1" w:rsidRDefault="002A7EB1" w:rsidP="002A7EB1">
      <w:pPr>
        <w:autoSpaceDE w:val="0"/>
        <w:autoSpaceDN w:val="0"/>
        <w:adjustRightInd w:val="0"/>
        <w:spacing w:after="0" w:line="240" w:lineRule="auto"/>
        <w:rPr>
          <w:rFonts w:ascii="Arial" w:eastAsiaTheme="minorHAnsi" w:hAnsi="Arial" w:cs="Arial"/>
          <w:b/>
          <w:bCs/>
          <w:color w:val="000000"/>
          <w:sz w:val="24"/>
          <w:szCs w:val="24"/>
          <w:u w:val="single"/>
        </w:rPr>
      </w:pPr>
    </w:p>
    <w:p w:rsidR="002A7EB1" w:rsidRDefault="002A7EB1" w:rsidP="002A7EB1">
      <w:pPr>
        <w:autoSpaceDE w:val="0"/>
        <w:autoSpaceDN w:val="0"/>
        <w:adjustRightInd w:val="0"/>
        <w:spacing w:after="0" w:line="240" w:lineRule="auto"/>
        <w:rPr>
          <w:rFonts w:ascii="Arial" w:hAnsi="Arial" w:cs="Arial"/>
          <w:b/>
          <w:bCs/>
          <w:color w:val="000000"/>
          <w:sz w:val="24"/>
          <w:szCs w:val="24"/>
          <w:u w:val="single"/>
        </w:rPr>
      </w:pPr>
    </w:p>
    <w:p w:rsidR="002A7EB1" w:rsidRPr="00687D6F" w:rsidRDefault="002A7EB1" w:rsidP="00F25FE1">
      <w:pPr>
        <w:jc w:val="center"/>
        <w:rPr>
          <w:b/>
          <w:color w:val="1F497D" w:themeColor="text2"/>
        </w:rPr>
      </w:pPr>
    </w:p>
    <w:p w:rsidR="00F25FE1" w:rsidRPr="00687D6F" w:rsidRDefault="00F25FE1" w:rsidP="00F25FE1">
      <w:pPr>
        <w:jc w:val="center"/>
        <w:rPr>
          <w:rFonts w:eastAsiaTheme="minorEastAsia"/>
          <w:b/>
          <w:bCs/>
          <w:iCs/>
          <w:color w:val="1F497D" w:themeColor="text2"/>
          <w:kern w:val="24"/>
          <w:sz w:val="28"/>
          <w:szCs w:val="28"/>
        </w:rPr>
      </w:pPr>
      <w:r w:rsidRPr="00687D6F">
        <w:rPr>
          <w:rFonts w:eastAsiaTheme="minorEastAsia"/>
          <w:b/>
          <w:bCs/>
          <w:color w:val="1F497D" w:themeColor="text2"/>
          <w:kern w:val="24"/>
          <w:sz w:val="28"/>
          <w:szCs w:val="28"/>
        </w:rPr>
        <w:t xml:space="preserve">Specifically Established Exceptions to </w:t>
      </w:r>
      <w:r w:rsidRPr="00687D6F">
        <w:rPr>
          <w:rFonts w:eastAsiaTheme="minorEastAsia"/>
          <w:b/>
          <w:bCs/>
          <w:i/>
          <w:iCs/>
          <w:color w:val="1F497D" w:themeColor="text2"/>
          <w:kern w:val="24"/>
          <w:sz w:val="28"/>
          <w:szCs w:val="28"/>
        </w:rPr>
        <w:t xml:space="preserve">Guide </w:t>
      </w:r>
      <w:r w:rsidR="00687D6F" w:rsidRPr="00687D6F">
        <w:rPr>
          <w:rFonts w:eastAsiaTheme="minorEastAsia"/>
          <w:b/>
          <w:bCs/>
          <w:iCs/>
          <w:color w:val="1F497D" w:themeColor="text2"/>
          <w:kern w:val="24"/>
          <w:sz w:val="28"/>
          <w:szCs w:val="28"/>
        </w:rPr>
        <w:t>S</w:t>
      </w:r>
      <w:r w:rsidRPr="00687D6F">
        <w:rPr>
          <w:rFonts w:eastAsiaTheme="minorEastAsia"/>
          <w:b/>
          <w:bCs/>
          <w:iCs/>
          <w:color w:val="1F497D" w:themeColor="text2"/>
          <w:kern w:val="24"/>
          <w:sz w:val="28"/>
          <w:szCs w:val="28"/>
        </w:rPr>
        <w:t>tandards</w:t>
      </w:r>
    </w:p>
    <w:p w:rsidR="00F25FE1" w:rsidRPr="00687D6F" w:rsidRDefault="00F25FE1" w:rsidP="00F25FE1">
      <w:pPr>
        <w:pStyle w:val="ListParagraph"/>
        <w:numPr>
          <w:ilvl w:val="0"/>
          <w:numId w:val="2"/>
        </w:numPr>
        <w:spacing w:after="0" w:line="240" w:lineRule="auto"/>
        <w:rPr>
          <w:rFonts w:asciiTheme="minorHAnsi" w:eastAsia="Times New Roman" w:hAnsiTheme="minorHAnsi"/>
          <w:color w:val="1F497D" w:themeColor="text2"/>
          <w:sz w:val="24"/>
          <w:szCs w:val="24"/>
        </w:rPr>
      </w:pPr>
      <w:r w:rsidRPr="00687D6F">
        <w:rPr>
          <w:rFonts w:asciiTheme="minorHAnsi" w:eastAsiaTheme="minorEastAsia" w:hAnsiTheme="minorHAnsi" w:cstheme="minorBidi"/>
          <w:color w:val="1F497D" w:themeColor="text2"/>
          <w:kern w:val="24"/>
          <w:sz w:val="24"/>
          <w:szCs w:val="24"/>
        </w:rPr>
        <w:t>“Prolonged restraint, including chairing of nonhuman primates, should be avoided unless it is essential for achieving research objectives and is specifically approved by the IACUC (NRC 2003b).” (pg. 29)</w:t>
      </w:r>
    </w:p>
    <w:p w:rsidR="00F25FE1" w:rsidRPr="00687D6F" w:rsidRDefault="00F25FE1" w:rsidP="00F25FE1">
      <w:pPr>
        <w:pStyle w:val="ListParagraph"/>
        <w:rPr>
          <w:rFonts w:asciiTheme="minorHAnsi" w:hAnsiTheme="minorHAnsi"/>
          <w:color w:val="1F497D" w:themeColor="text2"/>
        </w:rPr>
      </w:pPr>
    </w:p>
    <w:p w:rsidR="00F25FE1" w:rsidRPr="00687D6F" w:rsidRDefault="00F25FE1" w:rsidP="00F25FE1">
      <w:pPr>
        <w:numPr>
          <w:ilvl w:val="0"/>
          <w:numId w:val="2"/>
        </w:numPr>
        <w:rPr>
          <w:rFonts w:asciiTheme="minorHAnsi" w:hAnsiTheme="minorHAnsi"/>
          <w:color w:val="1F497D" w:themeColor="text2"/>
          <w:sz w:val="24"/>
          <w:szCs w:val="24"/>
        </w:rPr>
      </w:pPr>
      <w:r w:rsidRPr="00687D6F">
        <w:rPr>
          <w:color w:val="1F497D" w:themeColor="text2"/>
          <w:sz w:val="24"/>
          <w:szCs w:val="24"/>
        </w:rPr>
        <w:t>The use of non-pharmaceutical-grade chemicals and other substances should</w:t>
      </w:r>
      <w:r w:rsidRPr="00687D6F">
        <w:rPr>
          <w:b/>
          <w:bCs/>
          <w:color w:val="1F497D" w:themeColor="text2"/>
          <w:sz w:val="24"/>
          <w:szCs w:val="24"/>
        </w:rPr>
        <w:t xml:space="preserve"> </w:t>
      </w:r>
      <w:r w:rsidRPr="00687D6F">
        <w:rPr>
          <w:color w:val="1F497D" w:themeColor="text2"/>
          <w:sz w:val="24"/>
          <w:szCs w:val="24"/>
        </w:rPr>
        <w:t>be described and justified in the animal use protocol and be approved by the IACUC (Wolff et a,. 2003); for example, the use of non-pharmaceutical grade chemical or substance may be necessary to meet the scientific goals of a project or when a veterinary or human pharmaceutical-grade product is unavailable.” (pg. 31) </w:t>
      </w:r>
    </w:p>
    <w:p w:rsidR="00F25FE1" w:rsidRPr="00687D6F" w:rsidRDefault="00F25FE1" w:rsidP="00F25FE1">
      <w:pPr>
        <w:numPr>
          <w:ilvl w:val="0"/>
          <w:numId w:val="2"/>
        </w:numPr>
        <w:rPr>
          <w:color w:val="1F497D" w:themeColor="text2"/>
          <w:sz w:val="24"/>
          <w:szCs w:val="24"/>
        </w:rPr>
      </w:pPr>
      <w:r w:rsidRPr="00687D6F">
        <w:rPr>
          <w:color w:val="1F497D" w:themeColor="text2"/>
          <w:sz w:val="24"/>
          <w:szCs w:val="24"/>
        </w:rPr>
        <w:t>“Radios, alarms, and other sound generators should not be used in animal rooms, unless they are part of an approved protocol or enrichment program.” (pg. 50)</w:t>
      </w:r>
    </w:p>
    <w:p w:rsidR="00F25FE1" w:rsidRPr="00687D6F" w:rsidRDefault="00F25FE1" w:rsidP="00F25FE1">
      <w:pPr>
        <w:numPr>
          <w:ilvl w:val="0"/>
          <w:numId w:val="2"/>
        </w:numPr>
        <w:rPr>
          <w:color w:val="1F497D" w:themeColor="text2"/>
          <w:sz w:val="24"/>
          <w:szCs w:val="24"/>
        </w:rPr>
      </w:pPr>
      <w:r w:rsidRPr="00687D6F">
        <w:rPr>
          <w:color w:val="1F497D" w:themeColor="text2"/>
          <w:sz w:val="24"/>
          <w:szCs w:val="24"/>
        </w:rPr>
        <w:t>“Social animals should</w:t>
      </w:r>
      <w:r w:rsidRPr="00687D6F">
        <w:rPr>
          <w:b/>
          <w:bCs/>
          <w:i/>
          <w:iCs/>
          <w:color w:val="1F497D" w:themeColor="text2"/>
          <w:sz w:val="24"/>
          <w:szCs w:val="24"/>
        </w:rPr>
        <w:t xml:space="preserve"> </w:t>
      </w:r>
      <w:r w:rsidRPr="00687D6F">
        <w:rPr>
          <w:color w:val="1F497D" w:themeColor="text2"/>
          <w:sz w:val="24"/>
          <w:szCs w:val="24"/>
        </w:rPr>
        <w:t>be housed in stable pairs or groups of compatible individuals unless they must be housed alone for experimental reasons or because of social incompatibility.” (pg. 51)</w:t>
      </w:r>
    </w:p>
    <w:p w:rsidR="00F25FE1" w:rsidRPr="00687D6F" w:rsidRDefault="00F25FE1" w:rsidP="00F25FE1">
      <w:pPr>
        <w:numPr>
          <w:ilvl w:val="0"/>
          <w:numId w:val="2"/>
        </w:numPr>
        <w:rPr>
          <w:color w:val="1F497D" w:themeColor="text2"/>
          <w:sz w:val="24"/>
          <w:szCs w:val="24"/>
        </w:rPr>
      </w:pPr>
      <w:r w:rsidRPr="00687D6F">
        <w:rPr>
          <w:color w:val="1F497D" w:themeColor="text2"/>
          <w:sz w:val="24"/>
          <w:szCs w:val="24"/>
        </w:rPr>
        <w:t>“If necessary to house animals singly – for example, when justified for experimental purposes, for provision of veterinary care, or for incompatible animals – this arrangement should be for the shortest duration possible.” (pg. 60)</w:t>
      </w:r>
    </w:p>
    <w:p w:rsidR="00F25FE1" w:rsidRPr="00687D6F" w:rsidRDefault="00F25FE1" w:rsidP="00F25FE1">
      <w:pPr>
        <w:numPr>
          <w:ilvl w:val="0"/>
          <w:numId w:val="2"/>
        </w:numPr>
        <w:rPr>
          <w:color w:val="1F497D" w:themeColor="text2"/>
          <w:sz w:val="24"/>
          <w:szCs w:val="24"/>
        </w:rPr>
      </w:pPr>
      <w:r w:rsidRPr="00687D6F">
        <w:rPr>
          <w:color w:val="1F497D" w:themeColor="text2"/>
          <w:sz w:val="24"/>
          <w:szCs w:val="24"/>
        </w:rPr>
        <w:t>“Appropriate social interactions among members of the same species are essential to normal development and well-being….single housing of social species should be the exception and justified based on experimental requirements or veterinary related concerns about animal well-being.” (pg. 64)</w:t>
      </w:r>
    </w:p>
    <w:p w:rsidR="00F25FE1" w:rsidRPr="00687D6F" w:rsidRDefault="00F25FE1" w:rsidP="00F25FE1">
      <w:pPr>
        <w:numPr>
          <w:ilvl w:val="0"/>
          <w:numId w:val="2"/>
        </w:numPr>
        <w:rPr>
          <w:color w:val="1F497D" w:themeColor="text2"/>
          <w:sz w:val="24"/>
          <w:szCs w:val="24"/>
        </w:rPr>
      </w:pPr>
      <w:r w:rsidRPr="00687D6F">
        <w:rPr>
          <w:color w:val="1F497D" w:themeColor="text2"/>
          <w:sz w:val="24"/>
          <w:szCs w:val="24"/>
        </w:rPr>
        <w:t>“Unless an exception is specifically justified as an essential component of the research protocol and approved by the IACUC, aseptic surgery should be conducted in dedicated facilities or spaces.” (pg. 116)</w:t>
      </w:r>
    </w:p>
    <w:p w:rsidR="00F25FE1" w:rsidRPr="00687D6F" w:rsidRDefault="00F25FE1" w:rsidP="00F25FE1">
      <w:pPr>
        <w:numPr>
          <w:ilvl w:val="0"/>
          <w:numId w:val="2"/>
        </w:numPr>
        <w:rPr>
          <w:color w:val="1F497D" w:themeColor="text2"/>
          <w:sz w:val="24"/>
          <w:szCs w:val="24"/>
        </w:rPr>
      </w:pPr>
      <w:r w:rsidRPr="00687D6F">
        <w:rPr>
          <w:color w:val="1F497D" w:themeColor="text2"/>
          <w:sz w:val="24"/>
          <w:szCs w:val="24"/>
        </w:rPr>
        <w:t xml:space="preserve"> “Unless a deviation is justified for scientific or medical reasons, methods should be consistent with the AVMA Guidelines on Euthanasia (AVMA 2007 or later editions).”  (pg. 123)  </w:t>
      </w:r>
    </w:p>
    <w:p w:rsidR="002A7EB1" w:rsidRPr="00687D6F" w:rsidRDefault="00F25FE1" w:rsidP="00687D6F">
      <w:pPr>
        <w:tabs>
          <w:tab w:val="left" w:pos="6720"/>
        </w:tabs>
        <w:ind w:left="360"/>
        <w:rPr>
          <w:color w:val="1F497D" w:themeColor="text2"/>
          <w:sz w:val="24"/>
          <w:szCs w:val="24"/>
        </w:rPr>
      </w:pPr>
      <w:r w:rsidRPr="00687D6F">
        <w:rPr>
          <w:color w:val="1F497D" w:themeColor="text2"/>
          <w:sz w:val="24"/>
          <w:szCs w:val="24"/>
        </w:rPr>
        <w:tab/>
      </w:r>
    </w:p>
    <w:p w:rsidR="002A7EB1" w:rsidRDefault="002A7EB1" w:rsidP="002A7EB1">
      <w:pPr>
        <w:pStyle w:val="Default"/>
        <w:rPr>
          <w:b/>
          <w:bCs/>
          <w:u w:val="single"/>
        </w:rPr>
      </w:pPr>
    </w:p>
    <w:sectPr w:rsidR="002A7E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E1" w:rsidRDefault="00F25FE1" w:rsidP="00F25FE1">
      <w:pPr>
        <w:spacing w:after="0" w:line="240" w:lineRule="auto"/>
      </w:pPr>
      <w:r>
        <w:separator/>
      </w:r>
    </w:p>
  </w:endnote>
  <w:endnote w:type="continuationSeparator" w:id="0">
    <w:p w:rsidR="00F25FE1" w:rsidRDefault="00F25FE1" w:rsidP="00F2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E1" w:rsidRDefault="00F25FE1" w:rsidP="00F25FE1">
      <w:pPr>
        <w:spacing w:after="0" w:line="240" w:lineRule="auto"/>
      </w:pPr>
      <w:r>
        <w:separator/>
      </w:r>
    </w:p>
  </w:footnote>
  <w:footnote w:type="continuationSeparator" w:id="0">
    <w:p w:rsidR="00F25FE1" w:rsidRDefault="00F25FE1" w:rsidP="00F25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2F48"/>
    <w:multiLevelType w:val="hybridMultilevel"/>
    <w:tmpl w:val="2066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63295"/>
    <w:multiLevelType w:val="hybridMultilevel"/>
    <w:tmpl w:val="C79E9126"/>
    <w:lvl w:ilvl="0" w:tplc="EC1442DC">
      <w:start w:val="1"/>
      <w:numFmt w:val="bullet"/>
      <w:lvlText w:val=""/>
      <w:lvlJc w:val="left"/>
      <w:pPr>
        <w:tabs>
          <w:tab w:val="num" w:pos="720"/>
        </w:tabs>
        <w:ind w:left="720" w:hanging="360"/>
      </w:pPr>
      <w:rPr>
        <w:rFonts w:ascii="Symbol" w:hAnsi="Symbol" w:hint="default"/>
        <w:color w:val="auto"/>
      </w:rPr>
    </w:lvl>
    <w:lvl w:ilvl="1" w:tplc="45BE0ED6">
      <w:start w:val="1"/>
      <w:numFmt w:val="bullet"/>
      <w:lvlText w:val=""/>
      <w:lvlJc w:val="left"/>
      <w:pPr>
        <w:tabs>
          <w:tab w:val="num" w:pos="1440"/>
        </w:tabs>
        <w:ind w:left="1440" w:hanging="360"/>
      </w:pPr>
      <w:rPr>
        <w:rFonts w:ascii="Symbol" w:hAnsi="Symbol" w:hint="default"/>
      </w:rPr>
    </w:lvl>
    <w:lvl w:ilvl="2" w:tplc="945E4884">
      <w:start w:val="1"/>
      <w:numFmt w:val="bullet"/>
      <w:lvlText w:val=""/>
      <w:lvlJc w:val="left"/>
      <w:pPr>
        <w:tabs>
          <w:tab w:val="num" w:pos="2160"/>
        </w:tabs>
        <w:ind w:left="2160" w:hanging="360"/>
      </w:pPr>
      <w:rPr>
        <w:rFonts w:ascii="Symbol" w:hAnsi="Symbol" w:hint="default"/>
      </w:rPr>
    </w:lvl>
    <w:lvl w:ilvl="3" w:tplc="72D49FFE">
      <w:start w:val="1"/>
      <w:numFmt w:val="bullet"/>
      <w:lvlText w:val=""/>
      <w:lvlJc w:val="left"/>
      <w:pPr>
        <w:tabs>
          <w:tab w:val="num" w:pos="2880"/>
        </w:tabs>
        <w:ind w:left="2880" w:hanging="360"/>
      </w:pPr>
      <w:rPr>
        <w:rFonts w:ascii="Symbol" w:hAnsi="Symbol" w:hint="default"/>
      </w:rPr>
    </w:lvl>
    <w:lvl w:ilvl="4" w:tplc="5A7E11C8">
      <w:start w:val="1"/>
      <w:numFmt w:val="bullet"/>
      <w:lvlText w:val=""/>
      <w:lvlJc w:val="left"/>
      <w:pPr>
        <w:tabs>
          <w:tab w:val="num" w:pos="3600"/>
        </w:tabs>
        <w:ind w:left="3600" w:hanging="360"/>
      </w:pPr>
      <w:rPr>
        <w:rFonts w:ascii="Symbol" w:hAnsi="Symbol" w:hint="default"/>
      </w:rPr>
    </w:lvl>
    <w:lvl w:ilvl="5" w:tplc="9DCC2304">
      <w:start w:val="1"/>
      <w:numFmt w:val="bullet"/>
      <w:lvlText w:val=""/>
      <w:lvlJc w:val="left"/>
      <w:pPr>
        <w:tabs>
          <w:tab w:val="num" w:pos="4320"/>
        </w:tabs>
        <w:ind w:left="4320" w:hanging="360"/>
      </w:pPr>
      <w:rPr>
        <w:rFonts w:ascii="Symbol" w:hAnsi="Symbol" w:hint="default"/>
      </w:rPr>
    </w:lvl>
    <w:lvl w:ilvl="6" w:tplc="B1720BAA">
      <w:start w:val="1"/>
      <w:numFmt w:val="bullet"/>
      <w:lvlText w:val=""/>
      <w:lvlJc w:val="left"/>
      <w:pPr>
        <w:tabs>
          <w:tab w:val="num" w:pos="5040"/>
        </w:tabs>
        <w:ind w:left="5040" w:hanging="360"/>
      </w:pPr>
      <w:rPr>
        <w:rFonts w:ascii="Symbol" w:hAnsi="Symbol" w:hint="default"/>
      </w:rPr>
    </w:lvl>
    <w:lvl w:ilvl="7" w:tplc="E3445006">
      <w:start w:val="1"/>
      <w:numFmt w:val="bullet"/>
      <w:lvlText w:val=""/>
      <w:lvlJc w:val="left"/>
      <w:pPr>
        <w:tabs>
          <w:tab w:val="num" w:pos="5760"/>
        </w:tabs>
        <w:ind w:left="5760" w:hanging="360"/>
      </w:pPr>
      <w:rPr>
        <w:rFonts w:ascii="Symbol" w:hAnsi="Symbol" w:hint="default"/>
      </w:rPr>
    </w:lvl>
    <w:lvl w:ilvl="8" w:tplc="87B6C11E">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B1"/>
    <w:rsid w:val="00030024"/>
    <w:rsid w:val="002A7EB1"/>
    <w:rsid w:val="004624AA"/>
    <w:rsid w:val="00687D6F"/>
    <w:rsid w:val="007D3DE1"/>
    <w:rsid w:val="00C02494"/>
    <w:rsid w:val="00D8261C"/>
    <w:rsid w:val="00E070E3"/>
    <w:rsid w:val="00EB39D5"/>
    <w:rsid w:val="00F2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EB1"/>
    <w:pPr>
      <w:spacing w:after="0" w:line="240" w:lineRule="auto"/>
    </w:pPr>
    <w:rPr>
      <w:rFonts w:ascii="Calibri" w:eastAsia="Calibri" w:hAnsi="Calibri" w:cs="Times New Roman"/>
    </w:rPr>
  </w:style>
  <w:style w:type="paragraph" w:styleId="ListParagraph">
    <w:name w:val="List Paragraph"/>
    <w:basedOn w:val="Normal"/>
    <w:uiPriority w:val="34"/>
    <w:qFormat/>
    <w:rsid w:val="002A7EB1"/>
    <w:pPr>
      <w:ind w:left="720"/>
      <w:contextualSpacing/>
    </w:pPr>
  </w:style>
  <w:style w:type="paragraph" w:customStyle="1" w:styleId="Default">
    <w:name w:val="Default"/>
    <w:rsid w:val="002A7E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A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EB1"/>
    <w:rPr>
      <w:rFonts w:ascii="Tahoma" w:eastAsia="Calibri" w:hAnsi="Tahoma" w:cs="Tahoma"/>
      <w:sz w:val="16"/>
      <w:szCs w:val="16"/>
    </w:rPr>
  </w:style>
  <w:style w:type="character" w:styleId="Emphasis">
    <w:name w:val="Emphasis"/>
    <w:basedOn w:val="DefaultParagraphFont"/>
    <w:uiPriority w:val="20"/>
    <w:qFormat/>
    <w:rsid w:val="002A7EB1"/>
    <w:rPr>
      <w:i/>
      <w:iCs/>
    </w:rPr>
  </w:style>
  <w:style w:type="paragraph" w:styleId="Header">
    <w:name w:val="header"/>
    <w:basedOn w:val="Normal"/>
    <w:link w:val="HeaderChar"/>
    <w:uiPriority w:val="99"/>
    <w:unhideWhenUsed/>
    <w:rsid w:val="00F25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E1"/>
    <w:rPr>
      <w:rFonts w:ascii="Calibri" w:eastAsia="Calibri" w:hAnsi="Calibri" w:cs="Times New Roman"/>
    </w:rPr>
  </w:style>
  <w:style w:type="paragraph" w:styleId="Footer">
    <w:name w:val="footer"/>
    <w:basedOn w:val="Normal"/>
    <w:link w:val="FooterChar"/>
    <w:uiPriority w:val="99"/>
    <w:unhideWhenUsed/>
    <w:rsid w:val="00F25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EB1"/>
    <w:pPr>
      <w:spacing w:after="0" w:line="240" w:lineRule="auto"/>
    </w:pPr>
    <w:rPr>
      <w:rFonts w:ascii="Calibri" w:eastAsia="Calibri" w:hAnsi="Calibri" w:cs="Times New Roman"/>
    </w:rPr>
  </w:style>
  <w:style w:type="paragraph" w:styleId="ListParagraph">
    <w:name w:val="List Paragraph"/>
    <w:basedOn w:val="Normal"/>
    <w:uiPriority w:val="34"/>
    <w:qFormat/>
    <w:rsid w:val="002A7EB1"/>
    <w:pPr>
      <w:ind w:left="720"/>
      <w:contextualSpacing/>
    </w:pPr>
  </w:style>
  <w:style w:type="paragraph" w:customStyle="1" w:styleId="Default">
    <w:name w:val="Default"/>
    <w:rsid w:val="002A7E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A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EB1"/>
    <w:rPr>
      <w:rFonts w:ascii="Tahoma" w:eastAsia="Calibri" w:hAnsi="Tahoma" w:cs="Tahoma"/>
      <w:sz w:val="16"/>
      <w:szCs w:val="16"/>
    </w:rPr>
  </w:style>
  <w:style w:type="character" w:styleId="Emphasis">
    <w:name w:val="Emphasis"/>
    <w:basedOn w:val="DefaultParagraphFont"/>
    <w:uiPriority w:val="20"/>
    <w:qFormat/>
    <w:rsid w:val="002A7EB1"/>
    <w:rPr>
      <w:i/>
      <w:iCs/>
    </w:rPr>
  </w:style>
  <w:style w:type="paragraph" w:styleId="Header">
    <w:name w:val="header"/>
    <w:basedOn w:val="Normal"/>
    <w:link w:val="HeaderChar"/>
    <w:uiPriority w:val="99"/>
    <w:unhideWhenUsed/>
    <w:rsid w:val="00F25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E1"/>
    <w:rPr>
      <w:rFonts w:ascii="Calibri" w:eastAsia="Calibri" w:hAnsi="Calibri" w:cs="Times New Roman"/>
    </w:rPr>
  </w:style>
  <w:style w:type="paragraph" w:styleId="Footer">
    <w:name w:val="footer"/>
    <w:basedOn w:val="Normal"/>
    <w:link w:val="FooterChar"/>
    <w:uiPriority w:val="99"/>
    <w:unhideWhenUsed/>
    <w:rsid w:val="00F25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7623">
      <w:bodyDiv w:val="1"/>
      <w:marLeft w:val="0"/>
      <w:marRight w:val="0"/>
      <w:marTop w:val="0"/>
      <w:marBottom w:val="0"/>
      <w:divBdr>
        <w:top w:val="none" w:sz="0" w:space="0" w:color="auto"/>
        <w:left w:val="none" w:sz="0" w:space="0" w:color="auto"/>
        <w:bottom w:val="none" w:sz="0" w:space="0" w:color="auto"/>
        <w:right w:val="none" w:sz="0" w:space="0" w:color="auto"/>
      </w:divBdr>
    </w:div>
    <w:div w:id="111740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n.wikipedia.org/wiki/File:US-DeptOfVeteransAffairs-Seal.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EEED-BE2E-47C3-A0F1-A5E84002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Appendix 9 and Single Housing</vt:lpstr>
    </vt:vector>
  </TitlesOfParts>
  <Company>Veteran Affairs</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9 and Single Housing</dc:title>
  <dc:subject>Appendix 9 and Single Housing</dc:subject>
  <dc:creator>Joan T Richerson, DVM</dc:creator>
  <cp:keywords>Appendix 9 and Single Housing</cp:keywords>
  <cp:lastModifiedBy>Department of Veterans Affairs</cp:lastModifiedBy>
  <cp:revision>4</cp:revision>
  <dcterms:created xsi:type="dcterms:W3CDTF">2015-12-24T14:27:00Z</dcterms:created>
  <dcterms:modified xsi:type="dcterms:W3CDTF">2015-12-28T16:18:00Z</dcterms:modified>
</cp:coreProperties>
</file>