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705397890"/>
        <w:docPartObj>
          <w:docPartGallery w:val="Cover Pages"/>
          <w:docPartUnique/>
        </w:docPartObj>
      </w:sdtPr>
      <w:sdtEndPr/>
      <w:sdtContent>
        <w:p w:rsidR="00C90B66" w:rsidRDefault="00C90B66"/>
        <w:tbl>
          <w:tblPr>
            <w:tblpPr w:leftFromText="187" w:rightFromText="187" w:horzAnchor="margin" w:tblpXSpec="center" w:tblpYSpec="bottom"/>
            <w:tblW w:w="3857" w:type="pct"/>
            <w:tblLook w:val="04A0" w:firstRow="1" w:lastRow="0" w:firstColumn="1" w:lastColumn="0" w:noHBand="0" w:noVBand="1"/>
          </w:tblPr>
          <w:tblGrid>
            <w:gridCol w:w="9997"/>
          </w:tblGrid>
          <w:tr w:rsidR="00C90B66" w:rsidTr="00C90B66">
            <w:tc>
              <w:tcPr>
                <w:tcW w:w="9997" w:type="dxa"/>
                <w:tcMar>
                  <w:top w:w="216" w:type="dxa"/>
                  <w:left w:w="115" w:type="dxa"/>
                  <w:bottom w:w="216" w:type="dxa"/>
                  <w:right w:w="115" w:type="dxa"/>
                </w:tcMar>
              </w:tcPr>
              <w:p w:rsidR="00C90B66" w:rsidRDefault="00C90B66" w:rsidP="0009015D">
                <w:pPr>
                  <w:pStyle w:val="NoSpacing"/>
                  <w:rPr>
                    <w:color w:val="4472C4" w:themeColor="accent1"/>
                  </w:rPr>
                </w:pPr>
              </w:p>
            </w:tc>
          </w:tr>
        </w:tbl>
        <w:p w:rsidR="0009015D" w:rsidRDefault="00626BD4" w:rsidP="00C90B66">
          <w:pPr>
            <w:jc w:val="center"/>
            <w:rPr>
              <w:b/>
            </w:rPr>
          </w:pPr>
          <w:r>
            <w:rPr>
              <w:b/>
            </w:rPr>
            <w:t xml:space="preserve">Initial </w:t>
          </w:r>
          <w:r w:rsidR="00C90B66" w:rsidRPr="00C90B66">
            <w:rPr>
              <w:b/>
            </w:rPr>
            <w:t xml:space="preserve">Review and Approval of </w:t>
          </w:r>
          <w:r w:rsidR="0009015D">
            <w:rPr>
              <w:b/>
            </w:rPr>
            <w:t xml:space="preserve">Exempt Human Subjects </w:t>
          </w:r>
          <w:r w:rsidR="00C90B66" w:rsidRPr="00C90B66">
            <w:rPr>
              <w:b/>
            </w:rPr>
            <w:t xml:space="preserve">Research </w:t>
          </w:r>
        </w:p>
        <w:p w:rsidR="0009015D" w:rsidRDefault="0009015D" w:rsidP="00C90B66">
          <w:pPr>
            <w:jc w:val="center"/>
            <w:rPr>
              <w:b/>
            </w:rPr>
          </w:pPr>
          <w:r>
            <w:rPr>
              <w:b/>
            </w:rPr>
            <w:t>Roles and Responsibilities</w:t>
          </w:r>
        </w:p>
        <w:p w:rsidR="00C90B66" w:rsidRDefault="00C90B66" w:rsidP="00C90B66">
          <w:pPr>
            <w:jc w:val="center"/>
          </w:pPr>
        </w:p>
        <w:p w:rsidR="00C90B66" w:rsidRPr="0009015D" w:rsidRDefault="00C90B66" w:rsidP="00C90B66">
          <w:pPr>
            <w:rPr>
              <w:b/>
              <w:color w:val="FF0000"/>
            </w:rPr>
          </w:pPr>
          <w:r w:rsidRPr="0009015D">
            <w:rPr>
              <w:b/>
              <w:color w:val="FF0000"/>
            </w:rPr>
            <w:t>Instructions</w:t>
          </w:r>
        </w:p>
        <w:p w:rsidR="00C90B66" w:rsidRDefault="00C90B66" w:rsidP="00C90B66">
          <w:r>
            <w:t xml:space="preserve">This tool can be used to </w:t>
          </w:r>
          <w:r w:rsidR="0009015D">
            <w:t xml:space="preserve">help </w:t>
          </w:r>
          <w:r>
            <w:t>identify the individual</w:t>
          </w:r>
          <w:r w:rsidR="0009015D">
            <w:t>(s) and/or committee(s)</w:t>
          </w:r>
          <w:r>
            <w:t xml:space="preserve"> at your Institution that </w:t>
          </w:r>
          <w:r w:rsidR="0009015D">
            <w:t xml:space="preserve">play a role in the </w:t>
          </w:r>
          <w:r>
            <w:t xml:space="preserve">review </w:t>
          </w:r>
          <w:r w:rsidR="0009015D">
            <w:t xml:space="preserve">and approval of human subjects research that is exempt from the </w:t>
          </w:r>
          <w:r w:rsidR="00DF1E20">
            <w:t>C</w:t>
          </w:r>
          <w:r w:rsidR="0009015D">
            <w:t xml:space="preserve">ommon </w:t>
          </w:r>
          <w:r w:rsidR="00DF1E20">
            <w:t>R</w:t>
          </w:r>
          <w:bookmarkStart w:id="0" w:name="_GoBack"/>
          <w:bookmarkEnd w:id="0"/>
          <w:r w:rsidR="0009015D">
            <w:t xml:space="preserve">ule in accordance with 38 CFR 16.104.  Depending on your local processes and procedures for the review and approval of exempt research, additional columns and rows may need to be added to the table.  </w:t>
          </w:r>
          <w:r>
            <w:br w:type="page"/>
          </w:r>
        </w:p>
      </w:sdtContent>
    </w:sdt>
    <w:p w:rsidR="00C90B66" w:rsidRDefault="00C90B66"/>
    <w:tbl>
      <w:tblPr>
        <w:tblStyle w:val="TableGrid"/>
        <w:tblW w:w="15000" w:type="dxa"/>
        <w:tblInd w:w="-1025" w:type="dxa"/>
        <w:tblLook w:val="04A0" w:firstRow="1" w:lastRow="0" w:firstColumn="1" w:lastColumn="0" w:noHBand="0" w:noVBand="1"/>
      </w:tblPr>
      <w:tblGrid>
        <w:gridCol w:w="3450"/>
        <w:gridCol w:w="1564"/>
        <w:gridCol w:w="2004"/>
        <w:gridCol w:w="867"/>
        <w:gridCol w:w="899"/>
        <w:gridCol w:w="899"/>
        <w:gridCol w:w="1785"/>
        <w:gridCol w:w="1427"/>
        <w:gridCol w:w="2105"/>
      </w:tblGrid>
      <w:tr w:rsidR="007C7179" w:rsidTr="00565E33">
        <w:trPr>
          <w:tblHeader/>
        </w:trPr>
        <w:tc>
          <w:tcPr>
            <w:tcW w:w="3450" w:type="dxa"/>
          </w:tcPr>
          <w:p w:rsidR="007C7179" w:rsidRDefault="007C7179"/>
        </w:tc>
        <w:tc>
          <w:tcPr>
            <w:tcW w:w="1564" w:type="dxa"/>
          </w:tcPr>
          <w:p w:rsidR="007C7179" w:rsidRDefault="007C7179" w:rsidP="007C7179">
            <w:pPr>
              <w:jc w:val="center"/>
            </w:pPr>
            <w:r>
              <w:t>Conflict of Interest (COI) Administrator</w:t>
            </w:r>
          </w:p>
          <w:p w:rsidR="00565E33" w:rsidRDefault="00565E33" w:rsidP="007C7179">
            <w:pPr>
              <w:jc w:val="center"/>
            </w:pPr>
            <w:r w:rsidRPr="00565E33">
              <w:rPr>
                <w:color w:val="FF0000"/>
              </w:rPr>
              <w:t>(Coming Soon)</w:t>
            </w:r>
          </w:p>
        </w:tc>
        <w:tc>
          <w:tcPr>
            <w:tcW w:w="2004" w:type="dxa"/>
          </w:tcPr>
          <w:p w:rsidR="007C7179" w:rsidRDefault="007C7179" w:rsidP="007C7179">
            <w:pPr>
              <w:jc w:val="center"/>
            </w:pPr>
            <w:r>
              <w:t>Exempt Determination Official/Committee</w:t>
            </w:r>
            <w:r>
              <w:rPr>
                <w:rStyle w:val="FootnoteReference"/>
              </w:rPr>
              <w:footnoteReference w:id="1"/>
            </w:r>
          </w:p>
        </w:tc>
        <w:tc>
          <w:tcPr>
            <w:tcW w:w="867" w:type="dxa"/>
          </w:tcPr>
          <w:p w:rsidR="007C7179" w:rsidRDefault="007C7179" w:rsidP="007C7179">
            <w:pPr>
              <w:jc w:val="center"/>
            </w:pPr>
            <w:r>
              <w:t>IRB</w:t>
            </w:r>
          </w:p>
        </w:tc>
        <w:tc>
          <w:tcPr>
            <w:tcW w:w="899" w:type="dxa"/>
          </w:tcPr>
          <w:p w:rsidR="007C7179" w:rsidRDefault="007C7179" w:rsidP="007C7179">
            <w:pPr>
              <w:jc w:val="center"/>
            </w:pPr>
            <w:r>
              <w:t>Privacy Board</w:t>
            </w:r>
          </w:p>
        </w:tc>
        <w:tc>
          <w:tcPr>
            <w:tcW w:w="899" w:type="dxa"/>
          </w:tcPr>
          <w:p w:rsidR="007C7179" w:rsidRDefault="007C7179" w:rsidP="007C7179">
            <w:pPr>
              <w:jc w:val="center"/>
            </w:pPr>
            <w:r>
              <w:t>Privacy Officer (PO)</w:t>
            </w:r>
          </w:p>
        </w:tc>
        <w:tc>
          <w:tcPr>
            <w:tcW w:w="1785" w:type="dxa"/>
          </w:tcPr>
          <w:p w:rsidR="007C7179" w:rsidRDefault="007C7179" w:rsidP="007C7179">
            <w:pPr>
              <w:jc w:val="center"/>
            </w:pPr>
            <w:r>
              <w:t>Information Systems Security Officer (ISSO)</w:t>
            </w:r>
          </w:p>
        </w:tc>
        <w:tc>
          <w:tcPr>
            <w:tcW w:w="1427" w:type="dxa"/>
          </w:tcPr>
          <w:p w:rsidR="007C7179" w:rsidRDefault="007C7179" w:rsidP="007C7179">
            <w:pPr>
              <w:jc w:val="center"/>
            </w:pPr>
            <w:r>
              <w:t>Research &amp; Development Committee</w:t>
            </w:r>
          </w:p>
        </w:tc>
        <w:tc>
          <w:tcPr>
            <w:tcW w:w="2105" w:type="dxa"/>
          </w:tcPr>
          <w:p w:rsidR="007C7179" w:rsidRDefault="007C7179" w:rsidP="007C7179">
            <w:pPr>
              <w:jc w:val="center"/>
            </w:pPr>
            <w:r>
              <w:t>Associate Chief of Staff/Research or Coordinator for R&amp;D</w:t>
            </w:r>
          </w:p>
        </w:tc>
      </w:tr>
      <w:tr w:rsidR="007C7179" w:rsidTr="00565E33">
        <w:tc>
          <w:tcPr>
            <w:tcW w:w="3450" w:type="dxa"/>
          </w:tcPr>
          <w:p w:rsidR="007C7179" w:rsidRDefault="007C7179">
            <w:r>
              <w:t>Managing the review of potential financial conflicts of interest</w:t>
            </w:r>
          </w:p>
          <w:p w:rsidR="000A2B22" w:rsidRDefault="000A2B22"/>
        </w:tc>
        <w:tc>
          <w:tcPr>
            <w:tcW w:w="1564" w:type="dxa"/>
          </w:tcPr>
          <w:p w:rsidR="000A2B22" w:rsidRDefault="00565E33" w:rsidP="000A2B22">
            <w:pPr>
              <w:pStyle w:val="Default"/>
              <w:jc w:val="center"/>
              <w:rPr>
                <w:b/>
              </w:rPr>
            </w:pPr>
            <w:r>
              <w:rPr>
                <w:b/>
              </w:rPr>
              <w:t>X</w:t>
            </w:r>
          </w:p>
          <w:p w:rsidR="007C7179" w:rsidRPr="00565E33" w:rsidRDefault="007C7179" w:rsidP="000A2B22">
            <w:pPr>
              <w:pStyle w:val="Default"/>
              <w:jc w:val="center"/>
              <w:rPr>
                <w:sz w:val="20"/>
                <w:szCs w:val="20"/>
              </w:rPr>
            </w:pPr>
          </w:p>
        </w:tc>
        <w:tc>
          <w:tcPr>
            <w:tcW w:w="2004" w:type="dxa"/>
          </w:tcPr>
          <w:p w:rsidR="007C7179" w:rsidRDefault="007C7179" w:rsidP="00E42017">
            <w:pPr>
              <w:jc w:val="center"/>
              <w:rPr>
                <w:b/>
              </w:rPr>
            </w:pPr>
          </w:p>
        </w:tc>
        <w:tc>
          <w:tcPr>
            <w:tcW w:w="867" w:type="dxa"/>
          </w:tcPr>
          <w:p w:rsidR="007C7179" w:rsidRDefault="007C7179" w:rsidP="00E42017">
            <w:pPr>
              <w:jc w:val="center"/>
              <w:rPr>
                <w:b/>
              </w:rPr>
            </w:pPr>
          </w:p>
        </w:tc>
        <w:tc>
          <w:tcPr>
            <w:tcW w:w="899" w:type="dxa"/>
          </w:tcPr>
          <w:p w:rsidR="007C7179" w:rsidRDefault="007C7179"/>
        </w:tc>
        <w:tc>
          <w:tcPr>
            <w:tcW w:w="899" w:type="dxa"/>
          </w:tcPr>
          <w:p w:rsidR="007C7179" w:rsidRDefault="007C7179"/>
        </w:tc>
        <w:tc>
          <w:tcPr>
            <w:tcW w:w="1785" w:type="dxa"/>
          </w:tcPr>
          <w:p w:rsidR="007C7179" w:rsidRDefault="007C7179"/>
        </w:tc>
        <w:tc>
          <w:tcPr>
            <w:tcW w:w="1427" w:type="dxa"/>
          </w:tcPr>
          <w:p w:rsidR="007C7179" w:rsidRDefault="007C7179"/>
        </w:tc>
        <w:tc>
          <w:tcPr>
            <w:tcW w:w="2105" w:type="dxa"/>
          </w:tcPr>
          <w:p w:rsidR="007C7179" w:rsidRDefault="007C7179"/>
        </w:tc>
      </w:tr>
      <w:tr w:rsidR="007C7179" w:rsidTr="00565E33">
        <w:tc>
          <w:tcPr>
            <w:tcW w:w="3450" w:type="dxa"/>
          </w:tcPr>
          <w:p w:rsidR="007C7179" w:rsidRDefault="007C7179">
            <w:r>
              <w:t>Determining if the research qualifies for exemption (VHA Directive 1200.05 para 10)</w:t>
            </w:r>
          </w:p>
          <w:p w:rsidR="000A2B22" w:rsidRDefault="000A2B22"/>
        </w:tc>
        <w:tc>
          <w:tcPr>
            <w:tcW w:w="1564" w:type="dxa"/>
          </w:tcPr>
          <w:p w:rsidR="007C7179" w:rsidRDefault="007C7179" w:rsidP="00E42017">
            <w:pPr>
              <w:jc w:val="center"/>
              <w:rPr>
                <w:b/>
              </w:rPr>
            </w:pPr>
          </w:p>
        </w:tc>
        <w:tc>
          <w:tcPr>
            <w:tcW w:w="2004" w:type="dxa"/>
          </w:tcPr>
          <w:p w:rsidR="007C7179" w:rsidRDefault="007C7179" w:rsidP="00E42017">
            <w:pPr>
              <w:jc w:val="center"/>
              <w:rPr>
                <w:b/>
              </w:rPr>
            </w:pPr>
          </w:p>
          <w:p w:rsidR="007C7179" w:rsidRPr="00E42017" w:rsidRDefault="007C7179" w:rsidP="0064456F">
            <w:pPr>
              <w:pStyle w:val="Default"/>
              <w:jc w:val="center"/>
              <w:rPr>
                <w:b/>
              </w:rPr>
            </w:pPr>
            <w:r>
              <w:rPr>
                <w:b/>
              </w:rPr>
              <w:t>X</w:t>
            </w:r>
          </w:p>
        </w:tc>
        <w:tc>
          <w:tcPr>
            <w:tcW w:w="867" w:type="dxa"/>
          </w:tcPr>
          <w:p w:rsidR="007C7179" w:rsidRDefault="007C7179" w:rsidP="00E42017">
            <w:pPr>
              <w:jc w:val="center"/>
              <w:rPr>
                <w:b/>
              </w:rPr>
            </w:pPr>
          </w:p>
          <w:p w:rsidR="007C7179" w:rsidRPr="00E42017" w:rsidRDefault="007C7179" w:rsidP="0064456F">
            <w:pPr>
              <w:pStyle w:val="Default"/>
              <w:jc w:val="center"/>
              <w:rPr>
                <w:b/>
              </w:rPr>
            </w:pPr>
            <w:r>
              <w:rPr>
                <w:b/>
              </w:rPr>
              <w:t>X</w:t>
            </w:r>
          </w:p>
        </w:tc>
        <w:tc>
          <w:tcPr>
            <w:tcW w:w="899" w:type="dxa"/>
          </w:tcPr>
          <w:p w:rsidR="007C7179" w:rsidRDefault="007C7179"/>
        </w:tc>
        <w:tc>
          <w:tcPr>
            <w:tcW w:w="899" w:type="dxa"/>
          </w:tcPr>
          <w:p w:rsidR="007C7179" w:rsidRDefault="007C7179"/>
        </w:tc>
        <w:tc>
          <w:tcPr>
            <w:tcW w:w="1785" w:type="dxa"/>
          </w:tcPr>
          <w:p w:rsidR="007C7179" w:rsidRDefault="007C7179"/>
        </w:tc>
        <w:tc>
          <w:tcPr>
            <w:tcW w:w="1427" w:type="dxa"/>
          </w:tcPr>
          <w:p w:rsidR="007C7179" w:rsidRDefault="007C7179"/>
        </w:tc>
        <w:tc>
          <w:tcPr>
            <w:tcW w:w="2105" w:type="dxa"/>
          </w:tcPr>
          <w:p w:rsidR="007C7179" w:rsidRDefault="007C7179"/>
        </w:tc>
      </w:tr>
      <w:tr w:rsidR="007C7179" w:rsidTr="00565E33">
        <w:tc>
          <w:tcPr>
            <w:tcW w:w="3450" w:type="dxa"/>
          </w:tcPr>
          <w:p w:rsidR="007C7179" w:rsidRDefault="007C7179">
            <w:r>
              <w:t>Conducting limited IRB review for exempt categories 2(iii); 3(i)(c); 7; and 8 (VHA Directive 1200.05 para 10e)</w:t>
            </w:r>
          </w:p>
          <w:p w:rsidR="000A2B22" w:rsidRDefault="000A2B22"/>
        </w:tc>
        <w:tc>
          <w:tcPr>
            <w:tcW w:w="1564" w:type="dxa"/>
          </w:tcPr>
          <w:p w:rsidR="007C7179" w:rsidRDefault="007C7179"/>
        </w:tc>
        <w:tc>
          <w:tcPr>
            <w:tcW w:w="2004" w:type="dxa"/>
          </w:tcPr>
          <w:p w:rsidR="007C7179" w:rsidRDefault="007C7179"/>
        </w:tc>
        <w:tc>
          <w:tcPr>
            <w:tcW w:w="867" w:type="dxa"/>
          </w:tcPr>
          <w:p w:rsidR="007C7179" w:rsidRDefault="007C7179">
            <w:pPr>
              <w:rPr>
                <w:b/>
              </w:rPr>
            </w:pPr>
          </w:p>
          <w:p w:rsidR="007C7179" w:rsidRDefault="007C7179" w:rsidP="0064456F">
            <w:pPr>
              <w:pStyle w:val="Default"/>
              <w:jc w:val="center"/>
            </w:pPr>
            <w:r w:rsidRPr="00E42017">
              <w:rPr>
                <w:b/>
              </w:rPr>
              <w:t>X</w:t>
            </w:r>
          </w:p>
        </w:tc>
        <w:tc>
          <w:tcPr>
            <w:tcW w:w="899" w:type="dxa"/>
          </w:tcPr>
          <w:p w:rsidR="007C7179" w:rsidRDefault="007C7179"/>
        </w:tc>
        <w:tc>
          <w:tcPr>
            <w:tcW w:w="899" w:type="dxa"/>
          </w:tcPr>
          <w:p w:rsidR="007C7179" w:rsidRDefault="007C7179"/>
        </w:tc>
        <w:tc>
          <w:tcPr>
            <w:tcW w:w="1785" w:type="dxa"/>
          </w:tcPr>
          <w:p w:rsidR="007C7179" w:rsidRDefault="007C7179"/>
        </w:tc>
        <w:tc>
          <w:tcPr>
            <w:tcW w:w="1427" w:type="dxa"/>
          </w:tcPr>
          <w:p w:rsidR="007C7179" w:rsidRDefault="007C7179"/>
        </w:tc>
        <w:tc>
          <w:tcPr>
            <w:tcW w:w="2105" w:type="dxa"/>
          </w:tcPr>
          <w:p w:rsidR="007C7179" w:rsidRDefault="007C7179"/>
        </w:tc>
      </w:tr>
      <w:tr w:rsidR="007C7179" w:rsidTr="00565E33">
        <w:tc>
          <w:tcPr>
            <w:tcW w:w="3450" w:type="dxa"/>
          </w:tcPr>
          <w:p w:rsidR="007C7179" w:rsidRDefault="007C7179" w:rsidP="0064456F">
            <w:r>
              <w:t>Approving a waiver of HIPAA authorization for research involving use of protected health information (PHI) (VHA Directive 1200.05 para 23b)</w:t>
            </w:r>
          </w:p>
          <w:p w:rsidR="000A2B22" w:rsidRDefault="000A2B22" w:rsidP="0064456F"/>
        </w:tc>
        <w:tc>
          <w:tcPr>
            <w:tcW w:w="1564" w:type="dxa"/>
          </w:tcPr>
          <w:p w:rsidR="007C7179" w:rsidRDefault="007C7179" w:rsidP="0064456F"/>
        </w:tc>
        <w:tc>
          <w:tcPr>
            <w:tcW w:w="2004" w:type="dxa"/>
          </w:tcPr>
          <w:p w:rsidR="007C7179" w:rsidRDefault="007C7179" w:rsidP="0064456F"/>
        </w:tc>
        <w:tc>
          <w:tcPr>
            <w:tcW w:w="867" w:type="dxa"/>
          </w:tcPr>
          <w:p w:rsidR="007C7179" w:rsidRDefault="007C7179" w:rsidP="0064456F">
            <w:pPr>
              <w:jc w:val="center"/>
              <w:rPr>
                <w:b/>
              </w:rPr>
            </w:pPr>
          </w:p>
          <w:p w:rsidR="007C7179" w:rsidRDefault="007C7179" w:rsidP="0064456F">
            <w:pPr>
              <w:jc w:val="center"/>
              <w:rPr>
                <w:b/>
              </w:rPr>
            </w:pPr>
          </w:p>
          <w:p w:rsidR="007C7179" w:rsidRDefault="007C7179" w:rsidP="0064456F">
            <w:pPr>
              <w:pStyle w:val="Default"/>
              <w:jc w:val="center"/>
            </w:pPr>
            <w:r w:rsidRPr="00B6365E">
              <w:rPr>
                <w:b/>
              </w:rPr>
              <w:t>X</w:t>
            </w:r>
          </w:p>
        </w:tc>
        <w:tc>
          <w:tcPr>
            <w:tcW w:w="899" w:type="dxa"/>
          </w:tcPr>
          <w:p w:rsidR="007C7179" w:rsidRDefault="007C7179" w:rsidP="0064456F">
            <w:pPr>
              <w:jc w:val="center"/>
              <w:rPr>
                <w:b/>
              </w:rPr>
            </w:pPr>
          </w:p>
          <w:p w:rsidR="007C7179" w:rsidRDefault="007C7179" w:rsidP="0064456F">
            <w:pPr>
              <w:jc w:val="center"/>
              <w:rPr>
                <w:b/>
              </w:rPr>
            </w:pPr>
          </w:p>
          <w:p w:rsidR="007C7179" w:rsidRDefault="007C7179" w:rsidP="0064456F">
            <w:pPr>
              <w:pStyle w:val="Default"/>
              <w:jc w:val="center"/>
            </w:pPr>
            <w:r w:rsidRPr="00B6365E">
              <w:rPr>
                <w:b/>
              </w:rPr>
              <w:t>X</w:t>
            </w:r>
          </w:p>
        </w:tc>
        <w:tc>
          <w:tcPr>
            <w:tcW w:w="899" w:type="dxa"/>
          </w:tcPr>
          <w:p w:rsidR="007C7179" w:rsidRDefault="007C7179" w:rsidP="0064456F"/>
        </w:tc>
        <w:tc>
          <w:tcPr>
            <w:tcW w:w="1785" w:type="dxa"/>
          </w:tcPr>
          <w:p w:rsidR="007C7179" w:rsidRDefault="007C7179" w:rsidP="0064456F"/>
        </w:tc>
        <w:tc>
          <w:tcPr>
            <w:tcW w:w="1427" w:type="dxa"/>
          </w:tcPr>
          <w:p w:rsidR="007C7179" w:rsidRDefault="007C7179" w:rsidP="0064456F"/>
        </w:tc>
        <w:tc>
          <w:tcPr>
            <w:tcW w:w="2105" w:type="dxa"/>
          </w:tcPr>
          <w:p w:rsidR="007C7179" w:rsidRDefault="007C7179" w:rsidP="0064456F"/>
        </w:tc>
      </w:tr>
      <w:tr w:rsidR="007C7179" w:rsidTr="00565E33">
        <w:tc>
          <w:tcPr>
            <w:tcW w:w="3450" w:type="dxa"/>
          </w:tcPr>
          <w:p w:rsidR="000A2B22" w:rsidRDefault="007C7179">
            <w:r>
              <w:t>Ensuring compliance with information security requirements for research involving VA sensitive information (VHA Directive 1200.01 para 5j)</w:t>
            </w:r>
          </w:p>
        </w:tc>
        <w:tc>
          <w:tcPr>
            <w:tcW w:w="1564" w:type="dxa"/>
          </w:tcPr>
          <w:p w:rsidR="007C7179" w:rsidRDefault="007C7179"/>
        </w:tc>
        <w:tc>
          <w:tcPr>
            <w:tcW w:w="2004" w:type="dxa"/>
          </w:tcPr>
          <w:p w:rsidR="007C7179" w:rsidRDefault="007C7179"/>
        </w:tc>
        <w:tc>
          <w:tcPr>
            <w:tcW w:w="867" w:type="dxa"/>
          </w:tcPr>
          <w:p w:rsidR="007C7179" w:rsidRDefault="007C7179"/>
        </w:tc>
        <w:tc>
          <w:tcPr>
            <w:tcW w:w="899" w:type="dxa"/>
          </w:tcPr>
          <w:p w:rsidR="007C7179" w:rsidRDefault="007C7179"/>
        </w:tc>
        <w:tc>
          <w:tcPr>
            <w:tcW w:w="899" w:type="dxa"/>
          </w:tcPr>
          <w:p w:rsidR="007C7179" w:rsidRDefault="007C7179"/>
        </w:tc>
        <w:tc>
          <w:tcPr>
            <w:tcW w:w="1785" w:type="dxa"/>
          </w:tcPr>
          <w:p w:rsidR="007C7179" w:rsidRDefault="007C7179" w:rsidP="0064456F">
            <w:pPr>
              <w:jc w:val="center"/>
              <w:rPr>
                <w:b/>
              </w:rPr>
            </w:pPr>
          </w:p>
          <w:p w:rsidR="007C7179" w:rsidRDefault="007C7179" w:rsidP="0064456F">
            <w:pPr>
              <w:pStyle w:val="Default"/>
              <w:jc w:val="center"/>
            </w:pPr>
            <w:r>
              <w:rPr>
                <w:b/>
              </w:rPr>
              <w:t>X</w:t>
            </w:r>
          </w:p>
        </w:tc>
        <w:tc>
          <w:tcPr>
            <w:tcW w:w="1427" w:type="dxa"/>
          </w:tcPr>
          <w:p w:rsidR="007C7179" w:rsidRDefault="007C7179"/>
        </w:tc>
        <w:tc>
          <w:tcPr>
            <w:tcW w:w="2105" w:type="dxa"/>
          </w:tcPr>
          <w:p w:rsidR="007C7179" w:rsidRDefault="007C7179"/>
        </w:tc>
      </w:tr>
      <w:tr w:rsidR="007C7179" w:rsidTr="00565E33">
        <w:tc>
          <w:tcPr>
            <w:tcW w:w="3450" w:type="dxa"/>
          </w:tcPr>
          <w:p w:rsidR="000A2B22" w:rsidRDefault="007C7179" w:rsidP="003C42BB">
            <w:pPr>
              <w:pStyle w:val="Default"/>
              <w:rPr>
                <w:rFonts w:asciiTheme="minorHAnsi" w:hAnsiTheme="minorHAnsi" w:cstheme="minorHAnsi"/>
                <w:sz w:val="22"/>
                <w:szCs w:val="22"/>
              </w:rPr>
            </w:pPr>
            <w:r>
              <w:rPr>
                <w:rFonts w:asciiTheme="minorHAnsi" w:hAnsiTheme="minorHAnsi" w:cstheme="minorHAnsi"/>
                <w:sz w:val="22"/>
                <w:szCs w:val="22"/>
              </w:rPr>
              <w:lastRenderedPageBreak/>
              <w:t>Ensuring compliance with VA Privacy requirements, and when applicable, ensuring that the HIPAA authorization contains all required elements (VHA Directive 1200.01 para 5k)</w:t>
            </w:r>
          </w:p>
          <w:p w:rsidR="00565E33" w:rsidRPr="003C42BB" w:rsidRDefault="00565E33" w:rsidP="003C42BB">
            <w:pPr>
              <w:pStyle w:val="Default"/>
              <w:rPr>
                <w:rFonts w:asciiTheme="minorHAnsi" w:hAnsiTheme="minorHAnsi" w:cstheme="minorHAnsi"/>
                <w:sz w:val="22"/>
                <w:szCs w:val="22"/>
              </w:rPr>
            </w:pPr>
          </w:p>
        </w:tc>
        <w:tc>
          <w:tcPr>
            <w:tcW w:w="1564" w:type="dxa"/>
          </w:tcPr>
          <w:p w:rsidR="007C7179" w:rsidRPr="003F121E" w:rsidRDefault="007C7179" w:rsidP="003C42BB">
            <w:pPr>
              <w:pStyle w:val="Default"/>
            </w:pPr>
          </w:p>
        </w:tc>
        <w:tc>
          <w:tcPr>
            <w:tcW w:w="2004" w:type="dxa"/>
          </w:tcPr>
          <w:p w:rsidR="007C7179" w:rsidRPr="003F121E" w:rsidRDefault="007C7179" w:rsidP="003C42BB">
            <w:pPr>
              <w:pStyle w:val="Default"/>
            </w:pPr>
          </w:p>
        </w:tc>
        <w:tc>
          <w:tcPr>
            <w:tcW w:w="867" w:type="dxa"/>
          </w:tcPr>
          <w:p w:rsidR="007C7179" w:rsidRPr="003F121E" w:rsidRDefault="007C7179" w:rsidP="003C42BB">
            <w:pPr>
              <w:pStyle w:val="Default"/>
            </w:pPr>
          </w:p>
        </w:tc>
        <w:tc>
          <w:tcPr>
            <w:tcW w:w="899" w:type="dxa"/>
          </w:tcPr>
          <w:p w:rsidR="007C7179" w:rsidRPr="003F121E" w:rsidRDefault="007C7179" w:rsidP="003C42BB">
            <w:pPr>
              <w:pStyle w:val="Default"/>
            </w:pPr>
          </w:p>
        </w:tc>
        <w:tc>
          <w:tcPr>
            <w:tcW w:w="899" w:type="dxa"/>
          </w:tcPr>
          <w:p w:rsidR="007C7179" w:rsidRDefault="007C7179" w:rsidP="003C42BB">
            <w:pPr>
              <w:pStyle w:val="Default"/>
              <w:rPr>
                <w:b/>
              </w:rPr>
            </w:pPr>
          </w:p>
          <w:p w:rsidR="007C7179" w:rsidRPr="0064456F" w:rsidRDefault="007C7179" w:rsidP="0064456F">
            <w:pPr>
              <w:pStyle w:val="Default"/>
              <w:jc w:val="center"/>
              <w:rPr>
                <w:b/>
              </w:rPr>
            </w:pPr>
            <w:r>
              <w:rPr>
                <w:b/>
              </w:rPr>
              <w:t>X</w:t>
            </w:r>
          </w:p>
        </w:tc>
        <w:tc>
          <w:tcPr>
            <w:tcW w:w="1785" w:type="dxa"/>
          </w:tcPr>
          <w:p w:rsidR="007C7179" w:rsidRPr="003F121E" w:rsidRDefault="007C7179" w:rsidP="003C42BB">
            <w:pPr>
              <w:pStyle w:val="Default"/>
            </w:pPr>
          </w:p>
        </w:tc>
        <w:tc>
          <w:tcPr>
            <w:tcW w:w="1427" w:type="dxa"/>
          </w:tcPr>
          <w:p w:rsidR="007C7179" w:rsidRPr="003F121E" w:rsidRDefault="007C7179" w:rsidP="003C42BB">
            <w:pPr>
              <w:pStyle w:val="Default"/>
            </w:pPr>
          </w:p>
        </w:tc>
        <w:tc>
          <w:tcPr>
            <w:tcW w:w="2105" w:type="dxa"/>
          </w:tcPr>
          <w:p w:rsidR="007C7179" w:rsidRPr="003F121E" w:rsidRDefault="007C7179" w:rsidP="003C42BB">
            <w:pPr>
              <w:pStyle w:val="Default"/>
            </w:pPr>
          </w:p>
        </w:tc>
      </w:tr>
      <w:tr w:rsidR="007C7179" w:rsidTr="00565E33">
        <w:tc>
          <w:tcPr>
            <w:tcW w:w="3450" w:type="dxa"/>
          </w:tcPr>
          <w:p w:rsidR="007C7179" w:rsidRDefault="007C7179" w:rsidP="003C42BB">
            <w:pPr>
              <w:pStyle w:val="Default"/>
              <w:rPr>
                <w:rFonts w:asciiTheme="minorHAnsi" w:hAnsiTheme="minorHAnsi" w:cstheme="minorHAnsi"/>
                <w:sz w:val="22"/>
                <w:szCs w:val="22"/>
              </w:rPr>
            </w:pPr>
            <w:r w:rsidRPr="003C42BB">
              <w:rPr>
                <w:rFonts w:asciiTheme="minorHAnsi" w:hAnsiTheme="minorHAnsi" w:cstheme="minorHAnsi"/>
                <w:sz w:val="22"/>
                <w:szCs w:val="22"/>
              </w:rPr>
              <w:t>Ensuring all disclosures and data transmission meet privacy and security requirements per VHA Directive 16</w:t>
            </w:r>
            <w:r>
              <w:rPr>
                <w:rFonts w:asciiTheme="minorHAnsi" w:hAnsiTheme="minorHAnsi" w:cstheme="minorHAnsi"/>
                <w:sz w:val="22"/>
                <w:szCs w:val="22"/>
              </w:rPr>
              <w:t>0</w:t>
            </w:r>
            <w:r w:rsidRPr="003C42BB">
              <w:rPr>
                <w:rFonts w:asciiTheme="minorHAnsi" w:hAnsiTheme="minorHAnsi" w:cstheme="minorHAnsi"/>
                <w:sz w:val="22"/>
                <w:szCs w:val="22"/>
              </w:rPr>
              <w:t>5.01 and VA Handbook 6500</w:t>
            </w:r>
            <w:r>
              <w:rPr>
                <w:rFonts w:asciiTheme="minorHAnsi" w:hAnsiTheme="minorHAnsi" w:cstheme="minorHAnsi"/>
                <w:sz w:val="22"/>
                <w:szCs w:val="22"/>
              </w:rPr>
              <w:t xml:space="preserve"> (VHA Directive 1200.01 para 10b(2))</w:t>
            </w:r>
          </w:p>
          <w:p w:rsidR="00565E33" w:rsidRPr="003C42BB" w:rsidRDefault="00565E33" w:rsidP="003C42BB">
            <w:pPr>
              <w:pStyle w:val="Default"/>
              <w:rPr>
                <w:rFonts w:asciiTheme="minorHAnsi" w:hAnsiTheme="minorHAnsi" w:cstheme="minorHAnsi"/>
                <w:sz w:val="22"/>
                <w:szCs w:val="22"/>
              </w:rPr>
            </w:pPr>
          </w:p>
        </w:tc>
        <w:tc>
          <w:tcPr>
            <w:tcW w:w="1564" w:type="dxa"/>
          </w:tcPr>
          <w:p w:rsidR="007C7179" w:rsidRPr="003F121E" w:rsidRDefault="007C7179" w:rsidP="003C42BB">
            <w:pPr>
              <w:pStyle w:val="Default"/>
            </w:pPr>
          </w:p>
        </w:tc>
        <w:tc>
          <w:tcPr>
            <w:tcW w:w="2004" w:type="dxa"/>
          </w:tcPr>
          <w:p w:rsidR="007C7179" w:rsidRPr="003F121E" w:rsidRDefault="007C7179" w:rsidP="003C42BB">
            <w:pPr>
              <w:pStyle w:val="Default"/>
            </w:pPr>
          </w:p>
        </w:tc>
        <w:tc>
          <w:tcPr>
            <w:tcW w:w="867" w:type="dxa"/>
          </w:tcPr>
          <w:p w:rsidR="007C7179" w:rsidRPr="003F121E" w:rsidRDefault="007C7179" w:rsidP="003C42BB">
            <w:pPr>
              <w:pStyle w:val="Default"/>
            </w:pPr>
          </w:p>
        </w:tc>
        <w:tc>
          <w:tcPr>
            <w:tcW w:w="899" w:type="dxa"/>
          </w:tcPr>
          <w:p w:rsidR="007C7179" w:rsidRPr="003F121E" w:rsidRDefault="007C7179" w:rsidP="003C42BB">
            <w:pPr>
              <w:pStyle w:val="Default"/>
            </w:pPr>
          </w:p>
        </w:tc>
        <w:tc>
          <w:tcPr>
            <w:tcW w:w="899" w:type="dxa"/>
          </w:tcPr>
          <w:p w:rsidR="007C7179" w:rsidRDefault="007C7179" w:rsidP="003C42BB">
            <w:pPr>
              <w:pStyle w:val="Default"/>
              <w:rPr>
                <w:b/>
              </w:rPr>
            </w:pPr>
          </w:p>
          <w:p w:rsidR="007C7179" w:rsidRPr="003F121E" w:rsidRDefault="007C7179" w:rsidP="0064456F">
            <w:pPr>
              <w:pStyle w:val="Default"/>
              <w:jc w:val="center"/>
            </w:pPr>
            <w:r>
              <w:rPr>
                <w:b/>
              </w:rPr>
              <w:t>X</w:t>
            </w:r>
          </w:p>
        </w:tc>
        <w:tc>
          <w:tcPr>
            <w:tcW w:w="1785" w:type="dxa"/>
          </w:tcPr>
          <w:p w:rsidR="007C7179" w:rsidRDefault="007C7179" w:rsidP="00C56C54">
            <w:pPr>
              <w:pStyle w:val="Default"/>
              <w:jc w:val="center"/>
              <w:rPr>
                <w:b/>
              </w:rPr>
            </w:pPr>
          </w:p>
          <w:p w:rsidR="007C7179" w:rsidRPr="003F121E" w:rsidRDefault="007C7179" w:rsidP="00C56C54">
            <w:pPr>
              <w:pStyle w:val="Default"/>
              <w:jc w:val="center"/>
            </w:pPr>
            <w:r>
              <w:rPr>
                <w:b/>
              </w:rPr>
              <w:t>X</w:t>
            </w:r>
          </w:p>
        </w:tc>
        <w:tc>
          <w:tcPr>
            <w:tcW w:w="1427" w:type="dxa"/>
          </w:tcPr>
          <w:p w:rsidR="007C7179" w:rsidRPr="003F121E" w:rsidRDefault="007C7179" w:rsidP="003C42BB">
            <w:pPr>
              <w:pStyle w:val="Default"/>
            </w:pPr>
          </w:p>
        </w:tc>
        <w:tc>
          <w:tcPr>
            <w:tcW w:w="2105" w:type="dxa"/>
          </w:tcPr>
          <w:p w:rsidR="007C7179" w:rsidRPr="003F121E" w:rsidRDefault="007C7179" w:rsidP="003C42BB">
            <w:pPr>
              <w:pStyle w:val="Default"/>
            </w:pPr>
          </w:p>
        </w:tc>
      </w:tr>
      <w:tr w:rsidR="007C7179" w:rsidTr="00565E33">
        <w:tc>
          <w:tcPr>
            <w:tcW w:w="3450" w:type="dxa"/>
          </w:tcPr>
          <w:p w:rsidR="007C7179" w:rsidRDefault="007C7179">
            <w:r>
              <w:t>Approving exempt research to include:</w:t>
            </w:r>
          </w:p>
          <w:p w:rsidR="007C7179" w:rsidRDefault="007C7179" w:rsidP="009D09D7">
            <w:pPr>
              <w:pStyle w:val="ListParagraph"/>
              <w:numPr>
                <w:ilvl w:val="0"/>
                <w:numId w:val="1"/>
              </w:numPr>
            </w:pPr>
            <w:r>
              <w:t>Ensuring that research in which the facility is engaged is consistent with the VA mission and complies with all applicable statutory and regulatory requirements (VHA Directive 1200.01 para 5h(4))</w:t>
            </w:r>
          </w:p>
          <w:p w:rsidR="007C7179" w:rsidRDefault="007C7179" w:rsidP="009D09D7">
            <w:pPr>
              <w:pStyle w:val="ListParagraph"/>
              <w:numPr>
                <w:ilvl w:val="0"/>
                <w:numId w:val="1"/>
              </w:numPr>
            </w:pPr>
            <w:r>
              <w:t>Ensuring research in which the facility is to be engaged has been reviewed and approved for high scientific quality, the protection of human subjects and research staff,</w:t>
            </w:r>
            <w:r w:rsidR="002F248D">
              <w:t>…,</w:t>
            </w:r>
            <w:r>
              <w:t xml:space="preserve"> the safety of all involved in research, the </w:t>
            </w:r>
            <w:r>
              <w:lastRenderedPageBreak/>
              <w:t>security of research laboratories, and the security of VA data and sensitive information (VHA Directive 1200.01 para 5h(8))</w:t>
            </w:r>
          </w:p>
          <w:p w:rsidR="007C7179" w:rsidRDefault="007C7179" w:rsidP="009D09D7">
            <w:pPr>
              <w:pStyle w:val="ListParagraph"/>
              <w:numPr>
                <w:ilvl w:val="0"/>
                <w:numId w:val="1"/>
              </w:numPr>
            </w:pPr>
            <w:r>
              <w:t>Approving recruitment of non-Veterans (VHA Directive 1200.01 para 13(a))</w:t>
            </w:r>
          </w:p>
          <w:p w:rsidR="007C7179" w:rsidRDefault="007C7179" w:rsidP="009D09D7">
            <w:pPr>
              <w:pStyle w:val="ListParagraph"/>
              <w:numPr>
                <w:ilvl w:val="0"/>
                <w:numId w:val="1"/>
              </w:numPr>
            </w:pPr>
            <w:r>
              <w:t>For exempt research that involves the Investigator interacting with human subjects or obtaining information by educational tests, survey or interview procedures, or behavioral interventions, ensuring the following information is provided to prospective human subjects either in writing or orally in accordance with VHA Directive 1200.05 para 10c:</w:t>
            </w:r>
          </w:p>
          <w:p w:rsidR="007C7179" w:rsidRDefault="007C7179" w:rsidP="00565E33">
            <w:pPr>
              <w:pStyle w:val="ListParagraph"/>
              <w:numPr>
                <w:ilvl w:val="1"/>
                <w:numId w:val="1"/>
              </w:numPr>
            </w:pPr>
            <w:r>
              <w:t>The activity is research</w:t>
            </w:r>
          </w:p>
          <w:p w:rsidR="007C7179" w:rsidRDefault="007C7179" w:rsidP="00565E33">
            <w:pPr>
              <w:pStyle w:val="ListParagraph"/>
              <w:numPr>
                <w:ilvl w:val="1"/>
                <w:numId w:val="1"/>
              </w:numPr>
            </w:pPr>
            <w:r>
              <w:t>Participation is voluntary</w:t>
            </w:r>
          </w:p>
          <w:p w:rsidR="007C7179" w:rsidRDefault="007C7179" w:rsidP="00565E33">
            <w:pPr>
              <w:pStyle w:val="ListParagraph"/>
              <w:numPr>
                <w:ilvl w:val="1"/>
                <w:numId w:val="1"/>
              </w:numPr>
            </w:pPr>
            <w:r>
              <w:t>Permission to participate can be withdrawn</w:t>
            </w:r>
          </w:p>
          <w:p w:rsidR="007C7179" w:rsidRDefault="007C7179" w:rsidP="00565E33">
            <w:pPr>
              <w:pStyle w:val="ListParagraph"/>
              <w:numPr>
                <w:ilvl w:val="1"/>
                <w:numId w:val="1"/>
              </w:numPr>
            </w:pPr>
            <w:r>
              <w:t xml:space="preserve">Permission for use of data can be withdrawn for exempt research </w:t>
            </w:r>
            <w:r>
              <w:lastRenderedPageBreak/>
              <w:t>activities involving the collection and use of identifiable data; and</w:t>
            </w:r>
          </w:p>
          <w:p w:rsidR="007C7179" w:rsidRDefault="007C7179" w:rsidP="00565E33">
            <w:pPr>
              <w:pStyle w:val="ListParagraph"/>
              <w:numPr>
                <w:ilvl w:val="1"/>
                <w:numId w:val="1"/>
              </w:numPr>
            </w:pPr>
            <w:r>
              <w:t xml:space="preserve">Contact information for the VA Investigator </w:t>
            </w:r>
          </w:p>
          <w:p w:rsidR="002F248D" w:rsidRDefault="007C7179" w:rsidP="00EA0017">
            <w:pPr>
              <w:pStyle w:val="ListParagraph"/>
              <w:numPr>
                <w:ilvl w:val="0"/>
                <w:numId w:val="1"/>
              </w:numPr>
            </w:pPr>
            <w:r>
              <w:t>Determining if the facility should participate in the study</w:t>
            </w:r>
          </w:p>
          <w:p w:rsidR="007C7179" w:rsidRDefault="002F248D" w:rsidP="00EA0017">
            <w:pPr>
              <w:pStyle w:val="ListParagraph"/>
              <w:numPr>
                <w:ilvl w:val="0"/>
                <w:numId w:val="1"/>
              </w:numPr>
            </w:pPr>
            <w:r>
              <w:t>E</w:t>
            </w:r>
            <w:r w:rsidR="007C7179">
              <w:t xml:space="preserve">nsuring that the appropriate IRB arrangements are in place prior to using an external IRB </w:t>
            </w:r>
            <w:r>
              <w:t xml:space="preserve">if limited IRB review is required </w:t>
            </w:r>
            <w:r w:rsidR="007C7179">
              <w:t>(VHA Directive 1200.01 para 5h(7))</w:t>
            </w:r>
          </w:p>
          <w:p w:rsidR="007C7179" w:rsidRDefault="007C7179" w:rsidP="00EA0017">
            <w:pPr>
              <w:pStyle w:val="ListParagraph"/>
              <w:numPr>
                <w:ilvl w:val="0"/>
                <w:numId w:val="1"/>
              </w:numPr>
            </w:pPr>
            <w:r>
              <w:t xml:space="preserve">Ensuring all </w:t>
            </w:r>
            <w:r w:rsidRPr="009F6212">
              <w:t>committee/subcommittee</w:t>
            </w:r>
            <w:r>
              <w:t xml:space="preserve"> non-contingent approvals are in place (</w:t>
            </w:r>
            <w:r w:rsidRPr="00E11D34">
              <w:t>VHA Directive 1200.01 para 9b(1))</w:t>
            </w:r>
          </w:p>
          <w:p w:rsidR="007C7179" w:rsidRDefault="007C7179" w:rsidP="00EA0017">
            <w:pPr>
              <w:pStyle w:val="ListParagraph"/>
              <w:numPr>
                <w:ilvl w:val="0"/>
                <w:numId w:val="1"/>
              </w:numPr>
            </w:pPr>
            <w:r>
              <w:t xml:space="preserve">Ensuring that potential financial conflicts of interest are reported, reviewed, and managed </w:t>
            </w:r>
            <w:r w:rsidRPr="009F6212">
              <w:t>(VHA Directive 1200.01 para 5h(9))</w:t>
            </w:r>
          </w:p>
          <w:p w:rsidR="007C7179" w:rsidRDefault="007C7179" w:rsidP="00565E33">
            <w:pPr>
              <w:pStyle w:val="ListParagraph"/>
              <w:numPr>
                <w:ilvl w:val="0"/>
                <w:numId w:val="1"/>
              </w:numPr>
            </w:pPr>
            <w:r>
              <w:t>Ensuring ISSO and PO review is complete before a study is given final approval (VHA Directive 1200.01 para 5h(6))</w:t>
            </w:r>
          </w:p>
          <w:p w:rsidR="00565E33" w:rsidRDefault="00565E33" w:rsidP="00565E33">
            <w:pPr>
              <w:pStyle w:val="ListParagraph"/>
              <w:ind w:left="360"/>
            </w:pPr>
          </w:p>
          <w:p w:rsidR="00565E33" w:rsidRDefault="00565E33" w:rsidP="00565E33">
            <w:pPr>
              <w:pStyle w:val="ListParagraph"/>
              <w:ind w:left="360"/>
            </w:pPr>
          </w:p>
          <w:p w:rsidR="00565E33" w:rsidRDefault="00565E33" w:rsidP="00565E33">
            <w:pPr>
              <w:pStyle w:val="ListParagraph"/>
              <w:ind w:left="360"/>
            </w:pPr>
          </w:p>
        </w:tc>
        <w:tc>
          <w:tcPr>
            <w:tcW w:w="1564" w:type="dxa"/>
          </w:tcPr>
          <w:p w:rsidR="007C7179" w:rsidRDefault="007C7179"/>
        </w:tc>
        <w:tc>
          <w:tcPr>
            <w:tcW w:w="2004" w:type="dxa"/>
          </w:tcPr>
          <w:p w:rsidR="007C7179" w:rsidRDefault="007C7179"/>
        </w:tc>
        <w:tc>
          <w:tcPr>
            <w:tcW w:w="867" w:type="dxa"/>
          </w:tcPr>
          <w:p w:rsidR="007C7179" w:rsidRDefault="007C7179"/>
        </w:tc>
        <w:tc>
          <w:tcPr>
            <w:tcW w:w="899" w:type="dxa"/>
          </w:tcPr>
          <w:p w:rsidR="007C7179" w:rsidRDefault="007C7179"/>
        </w:tc>
        <w:tc>
          <w:tcPr>
            <w:tcW w:w="899" w:type="dxa"/>
          </w:tcPr>
          <w:p w:rsidR="007C7179" w:rsidRDefault="007C7179"/>
        </w:tc>
        <w:tc>
          <w:tcPr>
            <w:tcW w:w="1785" w:type="dxa"/>
          </w:tcPr>
          <w:p w:rsidR="007C7179" w:rsidRDefault="007C7179"/>
        </w:tc>
        <w:tc>
          <w:tcPr>
            <w:tcW w:w="1427" w:type="dxa"/>
          </w:tcPr>
          <w:p w:rsidR="007C7179" w:rsidRDefault="007C7179">
            <w:pPr>
              <w:rPr>
                <w:b/>
              </w:rPr>
            </w:pPr>
          </w:p>
          <w:p w:rsidR="007C7179" w:rsidRDefault="007C7179" w:rsidP="0064456F">
            <w:pPr>
              <w:jc w:val="center"/>
              <w:rPr>
                <w:b/>
              </w:rPr>
            </w:pPr>
          </w:p>
          <w:p w:rsidR="007C7179" w:rsidRDefault="007C7179" w:rsidP="0064456F">
            <w:pPr>
              <w:jc w:val="center"/>
              <w:rPr>
                <w:b/>
              </w:rPr>
            </w:pPr>
          </w:p>
          <w:p w:rsidR="007C7179" w:rsidRDefault="007C7179" w:rsidP="0064456F">
            <w:pPr>
              <w:jc w:val="center"/>
              <w:rPr>
                <w:b/>
              </w:rPr>
            </w:pPr>
          </w:p>
          <w:p w:rsidR="007C7179" w:rsidRDefault="007C7179" w:rsidP="0064456F">
            <w:pPr>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7C7179" w:rsidRDefault="007C7179" w:rsidP="00D64408">
            <w:pPr>
              <w:pStyle w:val="Default"/>
              <w:jc w:val="center"/>
              <w:rPr>
                <w:b/>
              </w:rPr>
            </w:pPr>
            <w:r w:rsidRPr="0064456F">
              <w:rPr>
                <w:b/>
              </w:rPr>
              <w:t>X</w:t>
            </w: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r>
              <w:rPr>
                <w:b/>
              </w:rPr>
              <w:t>X</w:t>
            </w: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r>
              <w:rPr>
                <w:b/>
              </w:rPr>
              <w:t>X</w:t>
            </w: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D64408" w:rsidRDefault="00D64408" w:rsidP="00D64408">
            <w:pPr>
              <w:pStyle w:val="Default"/>
              <w:jc w:val="center"/>
              <w:rPr>
                <w:b/>
              </w:rPr>
            </w:pPr>
          </w:p>
          <w:p w:rsidR="006D7C19" w:rsidRPr="0064456F" w:rsidRDefault="006D7C19" w:rsidP="00D64408">
            <w:pPr>
              <w:pStyle w:val="Default"/>
              <w:rPr>
                <w:b/>
              </w:rPr>
            </w:pPr>
          </w:p>
        </w:tc>
        <w:tc>
          <w:tcPr>
            <w:tcW w:w="2105" w:type="dxa"/>
          </w:tcPr>
          <w:p w:rsidR="007C7179" w:rsidRDefault="007C7179"/>
        </w:tc>
      </w:tr>
      <w:tr w:rsidR="007C7179" w:rsidTr="00565E33">
        <w:tc>
          <w:tcPr>
            <w:tcW w:w="3450" w:type="dxa"/>
          </w:tcPr>
          <w:p w:rsidR="007C7179" w:rsidRDefault="007C7179">
            <w:r>
              <w:lastRenderedPageBreak/>
              <w:t>Notifying investigators, in writing, when a research project can be initiated, and the period for which the project is approved (VHA Directive 1200.01 paragraph 5g(2))</w:t>
            </w:r>
          </w:p>
        </w:tc>
        <w:tc>
          <w:tcPr>
            <w:tcW w:w="1564" w:type="dxa"/>
          </w:tcPr>
          <w:p w:rsidR="007C7179" w:rsidRDefault="007C7179"/>
        </w:tc>
        <w:tc>
          <w:tcPr>
            <w:tcW w:w="2004" w:type="dxa"/>
          </w:tcPr>
          <w:p w:rsidR="007C7179" w:rsidRDefault="007C7179"/>
        </w:tc>
        <w:tc>
          <w:tcPr>
            <w:tcW w:w="867" w:type="dxa"/>
          </w:tcPr>
          <w:p w:rsidR="007C7179" w:rsidRDefault="007C7179"/>
        </w:tc>
        <w:tc>
          <w:tcPr>
            <w:tcW w:w="899" w:type="dxa"/>
          </w:tcPr>
          <w:p w:rsidR="007C7179" w:rsidRDefault="007C7179"/>
        </w:tc>
        <w:tc>
          <w:tcPr>
            <w:tcW w:w="899" w:type="dxa"/>
          </w:tcPr>
          <w:p w:rsidR="007C7179" w:rsidRDefault="007C7179"/>
        </w:tc>
        <w:tc>
          <w:tcPr>
            <w:tcW w:w="1785" w:type="dxa"/>
          </w:tcPr>
          <w:p w:rsidR="007C7179" w:rsidRDefault="007C7179"/>
        </w:tc>
        <w:tc>
          <w:tcPr>
            <w:tcW w:w="1427" w:type="dxa"/>
          </w:tcPr>
          <w:p w:rsidR="007C7179" w:rsidRDefault="007C7179"/>
        </w:tc>
        <w:tc>
          <w:tcPr>
            <w:tcW w:w="2105" w:type="dxa"/>
          </w:tcPr>
          <w:p w:rsidR="007C7179" w:rsidRDefault="007C7179" w:rsidP="0064456F">
            <w:pPr>
              <w:jc w:val="center"/>
              <w:rPr>
                <w:b/>
              </w:rPr>
            </w:pPr>
          </w:p>
          <w:p w:rsidR="007C7179" w:rsidRDefault="007C7179" w:rsidP="0064456F">
            <w:pPr>
              <w:jc w:val="center"/>
              <w:rPr>
                <w:b/>
              </w:rPr>
            </w:pPr>
          </w:p>
          <w:p w:rsidR="007C7179" w:rsidRPr="0064456F" w:rsidRDefault="007C7179" w:rsidP="0064456F">
            <w:pPr>
              <w:pStyle w:val="Default"/>
              <w:jc w:val="center"/>
              <w:rPr>
                <w:b/>
              </w:rPr>
            </w:pPr>
            <w:r>
              <w:rPr>
                <w:b/>
              </w:rPr>
              <w:t>X</w:t>
            </w:r>
          </w:p>
        </w:tc>
      </w:tr>
    </w:tbl>
    <w:p w:rsidR="007C1AAC" w:rsidRDefault="007C1AAC"/>
    <w:sectPr w:rsidR="007C1AAC" w:rsidSect="00C90B66">
      <w:headerReference w:type="default" r:id="rId8"/>
      <w:footerReference w:type="default" r:id="rId9"/>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C19" w:rsidRDefault="006D7C19" w:rsidP="00203C1F">
      <w:pPr>
        <w:spacing w:after="0" w:line="240" w:lineRule="auto"/>
      </w:pPr>
      <w:r>
        <w:separator/>
      </w:r>
    </w:p>
  </w:endnote>
  <w:endnote w:type="continuationSeparator" w:id="0">
    <w:p w:rsidR="006D7C19" w:rsidRDefault="006D7C19" w:rsidP="00203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C19" w:rsidRDefault="006D7C19">
    <w:pPr>
      <w:pStyle w:val="Footer"/>
    </w:pPr>
    <w:r w:rsidRPr="00C03C9C">
      <w:rPr>
        <w:noProof/>
      </w:rPr>
      <w:ptab w:relativeTo="margin" w:alignment="center" w:leader="none"/>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C03C9C">
      <w:rPr>
        <w:noProof/>
      </w:rPr>
      <w:ptab w:relativeTo="margin" w:alignment="right" w:leader="none"/>
    </w:r>
    <w:r>
      <w:rPr>
        <w:noProof/>
      </w:rPr>
      <w:t>02/0</w:t>
    </w:r>
    <w:r w:rsidR="00565E33">
      <w:rPr>
        <w:noProof/>
      </w:rPr>
      <w:t>3</w:t>
    </w:r>
    <w:r>
      <w:rPr>
        <w:noProof/>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C19" w:rsidRDefault="006D7C19" w:rsidP="00203C1F">
      <w:pPr>
        <w:spacing w:after="0" w:line="240" w:lineRule="auto"/>
      </w:pPr>
      <w:r>
        <w:separator/>
      </w:r>
    </w:p>
  </w:footnote>
  <w:footnote w:type="continuationSeparator" w:id="0">
    <w:p w:rsidR="006D7C19" w:rsidRDefault="006D7C19" w:rsidP="00203C1F">
      <w:pPr>
        <w:spacing w:after="0" w:line="240" w:lineRule="auto"/>
      </w:pPr>
      <w:r>
        <w:continuationSeparator/>
      </w:r>
    </w:p>
  </w:footnote>
  <w:footnote w:id="1">
    <w:p w:rsidR="006D7C19" w:rsidRDefault="006D7C19">
      <w:pPr>
        <w:pStyle w:val="FootnoteText"/>
      </w:pPr>
      <w:r>
        <w:rPr>
          <w:rStyle w:val="FootnoteReference"/>
        </w:rPr>
        <w:footnoteRef/>
      </w:r>
      <w:r>
        <w:t xml:space="preserve"> The exempt determination official can be either an individual or committee that is qualified to make exempt determinations, e.g. a subcommittee of the R&amp;D Committee or the R&amp;D Committee itself.  The exempt determination official is the individual or committee that is responsible for reviewing the research study to verify that it qualifies for exemption.  ORD policy allows exempt determinations to be made by the IRB Chair, an experienced IRB member, or qualified administrative staff with expertise in applying human research exempt regulations (VHA Directive 1200.05 paragraph 10b).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7C19" w:rsidRPr="00CF723A" w:rsidRDefault="006D7C19" w:rsidP="00203C1F">
    <w:pPr>
      <w:pStyle w:val="Header"/>
      <w:jc w:val="center"/>
      <w:rPr>
        <w:b/>
      </w:rPr>
    </w:pPr>
    <w:r w:rsidRPr="00CF723A">
      <w:rPr>
        <w:b/>
      </w:rPr>
      <w:t>Initial Review and Approval of Exempt Research</w:t>
    </w:r>
  </w:p>
  <w:p w:rsidR="006D7C19" w:rsidRDefault="006D7C19" w:rsidP="00203C1F">
    <w:pPr>
      <w:pStyle w:val="Header"/>
      <w:jc w:val="center"/>
    </w:pPr>
    <w:r w:rsidRPr="00CF723A">
      <w:rPr>
        <w:b/>
      </w:rPr>
      <w:t>Roles and Responsibilities</w:t>
    </w:r>
  </w:p>
  <w:p w:rsidR="006D7C19" w:rsidRDefault="006D7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75C33"/>
    <w:multiLevelType w:val="hybridMultilevel"/>
    <w:tmpl w:val="3E546B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C1F"/>
    <w:rsid w:val="0009015D"/>
    <w:rsid w:val="000A2B22"/>
    <w:rsid w:val="000D580C"/>
    <w:rsid w:val="001252D3"/>
    <w:rsid w:val="001935BD"/>
    <w:rsid w:val="001B6900"/>
    <w:rsid w:val="001D4576"/>
    <w:rsid w:val="00203C1F"/>
    <w:rsid w:val="0022381A"/>
    <w:rsid w:val="00223F6A"/>
    <w:rsid w:val="002717F8"/>
    <w:rsid w:val="00287457"/>
    <w:rsid w:val="002A5151"/>
    <w:rsid w:val="002E78D5"/>
    <w:rsid w:val="002F248D"/>
    <w:rsid w:val="00326692"/>
    <w:rsid w:val="003C42BB"/>
    <w:rsid w:val="003D4640"/>
    <w:rsid w:val="003E7891"/>
    <w:rsid w:val="004273A7"/>
    <w:rsid w:val="004B3D98"/>
    <w:rsid w:val="00565E33"/>
    <w:rsid w:val="005718D2"/>
    <w:rsid w:val="00580265"/>
    <w:rsid w:val="005B4936"/>
    <w:rsid w:val="005C4753"/>
    <w:rsid w:val="00612D54"/>
    <w:rsid w:val="00626BD4"/>
    <w:rsid w:val="00626C4E"/>
    <w:rsid w:val="0064456F"/>
    <w:rsid w:val="006A0366"/>
    <w:rsid w:val="006D7C19"/>
    <w:rsid w:val="006E7E19"/>
    <w:rsid w:val="007C1AAC"/>
    <w:rsid w:val="007C7179"/>
    <w:rsid w:val="007F19EA"/>
    <w:rsid w:val="00864EB3"/>
    <w:rsid w:val="008F3D64"/>
    <w:rsid w:val="00953AE3"/>
    <w:rsid w:val="00982A9A"/>
    <w:rsid w:val="009C37C5"/>
    <w:rsid w:val="009D09D7"/>
    <w:rsid w:val="009D302C"/>
    <w:rsid w:val="009F6212"/>
    <w:rsid w:val="00A04E65"/>
    <w:rsid w:val="00A131D4"/>
    <w:rsid w:val="00A55288"/>
    <w:rsid w:val="00AB6F9B"/>
    <w:rsid w:val="00BE636C"/>
    <w:rsid w:val="00C03C9C"/>
    <w:rsid w:val="00C10B8E"/>
    <w:rsid w:val="00C542D7"/>
    <w:rsid w:val="00C56C54"/>
    <w:rsid w:val="00C90B66"/>
    <w:rsid w:val="00CF723A"/>
    <w:rsid w:val="00D501E2"/>
    <w:rsid w:val="00D64408"/>
    <w:rsid w:val="00DA4846"/>
    <w:rsid w:val="00DC2A11"/>
    <w:rsid w:val="00DD77C8"/>
    <w:rsid w:val="00DF1E20"/>
    <w:rsid w:val="00E11D34"/>
    <w:rsid w:val="00E42017"/>
    <w:rsid w:val="00E62D9D"/>
    <w:rsid w:val="00EA0017"/>
    <w:rsid w:val="00EE2CEA"/>
    <w:rsid w:val="00F241AA"/>
    <w:rsid w:val="00F24C3F"/>
    <w:rsid w:val="00F957FD"/>
    <w:rsid w:val="00FB6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F1C796E"/>
  <w15:chartTrackingRefBased/>
  <w15:docId w15:val="{D76D730B-9D30-4240-8ECC-3B0D724D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3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3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1F"/>
  </w:style>
  <w:style w:type="paragraph" w:styleId="Footer">
    <w:name w:val="footer"/>
    <w:basedOn w:val="Normal"/>
    <w:link w:val="FooterChar"/>
    <w:uiPriority w:val="99"/>
    <w:unhideWhenUsed/>
    <w:rsid w:val="00203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1F"/>
  </w:style>
  <w:style w:type="paragraph" w:styleId="ListParagraph">
    <w:name w:val="List Paragraph"/>
    <w:basedOn w:val="Normal"/>
    <w:uiPriority w:val="34"/>
    <w:qFormat/>
    <w:rsid w:val="009D09D7"/>
    <w:pPr>
      <w:ind w:left="720"/>
      <w:contextualSpacing/>
    </w:pPr>
  </w:style>
  <w:style w:type="paragraph" w:styleId="FootnoteText">
    <w:name w:val="footnote text"/>
    <w:basedOn w:val="Normal"/>
    <w:link w:val="FootnoteTextChar"/>
    <w:uiPriority w:val="99"/>
    <w:semiHidden/>
    <w:unhideWhenUsed/>
    <w:rsid w:val="002874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7457"/>
    <w:rPr>
      <w:sz w:val="20"/>
      <w:szCs w:val="20"/>
    </w:rPr>
  </w:style>
  <w:style w:type="character" w:styleId="FootnoteReference">
    <w:name w:val="footnote reference"/>
    <w:basedOn w:val="DefaultParagraphFont"/>
    <w:uiPriority w:val="99"/>
    <w:semiHidden/>
    <w:unhideWhenUsed/>
    <w:rsid w:val="00287457"/>
    <w:rPr>
      <w:vertAlign w:val="superscript"/>
    </w:rPr>
  </w:style>
  <w:style w:type="paragraph" w:customStyle="1" w:styleId="Default">
    <w:name w:val="Default"/>
    <w:rsid w:val="003C42BB"/>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C90B66"/>
    <w:pPr>
      <w:spacing w:after="0" w:line="240" w:lineRule="auto"/>
    </w:pPr>
    <w:rPr>
      <w:rFonts w:eastAsiaTheme="minorEastAsia"/>
    </w:rPr>
  </w:style>
  <w:style w:type="character" w:customStyle="1" w:styleId="NoSpacingChar">
    <w:name w:val="No Spacing Char"/>
    <w:basedOn w:val="DefaultParagraphFont"/>
    <w:link w:val="NoSpacing"/>
    <w:uiPriority w:val="1"/>
    <w:rsid w:val="00C90B66"/>
    <w:rPr>
      <w:rFonts w:eastAsiaTheme="minorEastAsia"/>
    </w:rPr>
  </w:style>
  <w:style w:type="paragraph" w:styleId="BalloonText">
    <w:name w:val="Balloon Text"/>
    <w:basedOn w:val="Normal"/>
    <w:link w:val="BalloonTextChar"/>
    <w:uiPriority w:val="99"/>
    <w:semiHidden/>
    <w:unhideWhenUsed/>
    <w:rsid w:val="00D50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6DE8A-4F60-463B-9F91-396AC1E7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1AC0445E</Template>
  <TotalTime>1</TotalTime>
  <Pages>6</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 Soundia</dc:creator>
  <cp:keywords/>
  <dc:description/>
  <cp:lastModifiedBy>Duche, Soundia</cp:lastModifiedBy>
  <cp:revision>5</cp:revision>
  <cp:lastPrinted>2020-01-29T19:20:00Z</cp:lastPrinted>
  <dcterms:created xsi:type="dcterms:W3CDTF">2020-02-03T13:22:00Z</dcterms:created>
  <dcterms:modified xsi:type="dcterms:W3CDTF">2020-02-04T03:09:00Z</dcterms:modified>
</cp:coreProperties>
</file>