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21" w:rsidRDefault="00890621" w:rsidP="00D87B2B">
      <w:pPr>
        <w:spacing w:after="0" w:line="240" w:lineRule="auto"/>
        <w:rPr>
          <w:rFonts w:ascii="Arial" w:hAnsi="Arial" w:cs="Arial"/>
          <w:b/>
        </w:rPr>
      </w:pPr>
    </w:p>
    <w:p w:rsidR="00675C5E" w:rsidRPr="00574E53" w:rsidRDefault="00675C5E" w:rsidP="00D87B2B">
      <w:pPr>
        <w:spacing w:after="0" w:line="240" w:lineRule="auto"/>
        <w:rPr>
          <w:rFonts w:ascii="Arial" w:hAnsi="Arial" w:cs="Arial"/>
          <w:b/>
        </w:rPr>
      </w:pPr>
      <w:r w:rsidRPr="00574E53">
        <w:rPr>
          <w:rFonts w:ascii="Arial" w:hAnsi="Arial" w:cs="Arial"/>
          <w:b/>
        </w:rPr>
        <w:t>OFFICE OF RESEARCH AND DEVELOPMENT</w:t>
      </w:r>
      <w:r w:rsidR="00AC45AF">
        <w:rPr>
          <w:rFonts w:ascii="Arial" w:hAnsi="Arial" w:cs="Arial"/>
          <w:b/>
        </w:rPr>
        <w:t xml:space="preserve"> (ORD)</w:t>
      </w:r>
    </w:p>
    <w:p w:rsidR="00675C5E" w:rsidRPr="00574E53" w:rsidRDefault="00675C5E" w:rsidP="00D87B2B">
      <w:pPr>
        <w:spacing w:after="0" w:line="240" w:lineRule="auto"/>
        <w:rPr>
          <w:rFonts w:ascii="Arial" w:hAnsi="Arial" w:cs="Arial"/>
          <w:b/>
        </w:rPr>
      </w:pPr>
      <w:r w:rsidRPr="00574E53">
        <w:rPr>
          <w:rFonts w:ascii="Arial" w:hAnsi="Arial" w:cs="Arial"/>
          <w:b/>
        </w:rPr>
        <w:t>VETERANS HEALTH ADMINISTRATION</w:t>
      </w:r>
      <w:r w:rsidR="00AC45AF">
        <w:rPr>
          <w:rFonts w:ascii="Arial" w:hAnsi="Arial" w:cs="Arial"/>
          <w:b/>
        </w:rPr>
        <w:t xml:space="preserve"> (VHA)</w:t>
      </w:r>
    </w:p>
    <w:p w:rsidR="00675C5E" w:rsidRPr="00574E53" w:rsidRDefault="00675C5E" w:rsidP="00D87B2B">
      <w:pPr>
        <w:spacing w:line="240" w:lineRule="auto"/>
        <w:rPr>
          <w:rFonts w:ascii="Arial" w:hAnsi="Arial" w:cs="Arial"/>
          <w:b/>
        </w:rPr>
      </w:pPr>
    </w:p>
    <w:p w:rsidR="00A02092" w:rsidRPr="00574E53" w:rsidRDefault="005C37C8" w:rsidP="00D87B2B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r w:rsidRPr="00574E53">
        <w:rPr>
          <w:rFonts w:ascii="Arial" w:hAnsi="Arial" w:cs="Arial"/>
          <w:b/>
        </w:rPr>
        <w:t xml:space="preserve">ORD Guidance on </w:t>
      </w:r>
      <w:r w:rsidR="004F764A">
        <w:rPr>
          <w:rFonts w:ascii="Arial" w:hAnsi="Arial" w:cs="Arial"/>
          <w:b/>
        </w:rPr>
        <w:t>Non-affiliated I</w:t>
      </w:r>
      <w:r w:rsidR="002B47F8">
        <w:rPr>
          <w:rFonts w:ascii="Arial" w:hAnsi="Arial" w:cs="Arial"/>
          <w:b/>
        </w:rPr>
        <w:t>n</w:t>
      </w:r>
      <w:r w:rsidR="00DF6986">
        <w:rPr>
          <w:rFonts w:ascii="Arial" w:hAnsi="Arial" w:cs="Arial"/>
          <w:b/>
        </w:rPr>
        <w:t>stitutional</w:t>
      </w:r>
      <w:r w:rsidR="002B47F8">
        <w:rPr>
          <w:rFonts w:ascii="Arial" w:hAnsi="Arial" w:cs="Arial"/>
          <w:b/>
        </w:rPr>
        <w:t xml:space="preserve"> </w:t>
      </w:r>
      <w:r w:rsidR="004F764A">
        <w:rPr>
          <w:rFonts w:ascii="Arial" w:hAnsi="Arial" w:cs="Arial"/>
          <w:b/>
        </w:rPr>
        <w:t>R</w:t>
      </w:r>
      <w:r w:rsidR="002B47F8">
        <w:rPr>
          <w:rFonts w:ascii="Arial" w:hAnsi="Arial" w:cs="Arial"/>
          <w:b/>
        </w:rPr>
        <w:t xml:space="preserve">eview </w:t>
      </w:r>
      <w:r w:rsidR="004F764A">
        <w:rPr>
          <w:rFonts w:ascii="Arial" w:hAnsi="Arial" w:cs="Arial"/>
          <w:b/>
        </w:rPr>
        <w:t>B</w:t>
      </w:r>
      <w:r w:rsidR="002B47F8">
        <w:rPr>
          <w:rFonts w:ascii="Arial" w:hAnsi="Arial" w:cs="Arial"/>
          <w:b/>
        </w:rPr>
        <w:t>oard (IRB)</w:t>
      </w:r>
      <w:r w:rsidR="004F764A">
        <w:rPr>
          <w:rFonts w:ascii="Arial" w:hAnsi="Arial" w:cs="Arial"/>
          <w:b/>
        </w:rPr>
        <w:t xml:space="preserve"> Members</w:t>
      </w:r>
    </w:p>
    <w:bookmarkEnd w:id="0"/>
    <w:p w:rsidR="00675C5E" w:rsidRPr="00574E53" w:rsidRDefault="00675C5E" w:rsidP="00D87B2B">
      <w:pPr>
        <w:spacing w:line="240" w:lineRule="auto"/>
        <w:rPr>
          <w:rFonts w:ascii="Arial" w:hAnsi="Arial" w:cs="Arial"/>
        </w:rPr>
      </w:pPr>
      <w:r w:rsidRPr="00574E53">
        <w:rPr>
          <w:rFonts w:ascii="Arial" w:hAnsi="Arial" w:cs="Arial"/>
          <w:b/>
        </w:rPr>
        <w:t xml:space="preserve">Date:  </w:t>
      </w:r>
      <w:r w:rsidR="003641BC">
        <w:rPr>
          <w:rFonts w:ascii="Arial" w:hAnsi="Arial" w:cs="Arial"/>
          <w:b/>
        </w:rPr>
        <w:t>April 16</w:t>
      </w:r>
      <w:r w:rsidR="007C733D">
        <w:rPr>
          <w:rFonts w:ascii="Arial" w:hAnsi="Arial" w:cs="Arial"/>
          <w:b/>
        </w:rPr>
        <w:t>, 2015</w:t>
      </w:r>
    </w:p>
    <w:p w:rsidR="00675C5E" w:rsidRPr="00CD1234" w:rsidRDefault="00675C5E" w:rsidP="008F326D">
      <w:pPr>
        <w:spacing w:line="240" w:lineRule="auto"/>
        <w:rPr>
          <w:rFonts w:ascii="Arial" w:hAnsi="Arial" w:cs="Arial"/>
        </w:rPr>
      </w:pPr>
      <w:r w:rsidRPr="006A7100">
        <w:rPr>
          <w:rFonts w:ascii="Arial" w:hAnsi="Arial" w:cs="Arial"/>
          <w:b/>
        </w:rPr>
        <w:t>SCOPE:</w:t>
      </w:r>
      <w:r w:rsidRPr="006A7100">
        <w:rPr>
          <w:rFonts w:ascii="Arial" w:hAnsi="Arial" w:cs="Arial"/>
        </w:rPr>
        <w:t xml:space="preserve">  </w:t>
      </w:r>
      <w:r w:rsidR="00CD1234" w:rsidRPr="006A7100">
        <w:rPr>
          <w:rFonts w:ascii="Arial" w:hAnsi="Arial" w:cs="Arial"/>
        </w:rPr>
        <w:t xml:space="preserve">The Common Rule and </w:t>
      </w:r>
      <w:r w:rsidR="002B47F8" w:rsidRPr="006A7100">
        <w:rPr>
          <w:rFonts w:ascii="Arial" w:hAnsi="Arial" w:cs="Arial"/>
        </w:rPr>
        <w:t xml:space="preserve">VHA </w:t>
      </w:r>
      <w:r w:rsidR="00CD1234" w:rsidRPr="006A7100">
        <w:rPr>
          <w:rFonts w:ascii="Arial" w:hAnsi="Arial" w:cs="Arial"/>
        </w:rPr>
        <w:t>Handbook 1200.05</w:t>
      </w:r>
      <w:r w:rsidR="00747C81" w:rsidRPr="006A7100">
        <w:rPr>
          <w:rFonts w:ascii="Arial" w:hAnsi="Arial" w:cs="Arial"/>
        </w:rPr>
        <w:t xml:space="preserve"> §6.d</w:t>
      </w:r>
      <w:r w:rsidR="00CD1234" w:rsidRPr="006A7100">
        <w:rPr>
          <w:rFonts w:ascii="Arial" w:hAnsi="Arial" w:cs="Arial"/>
        </w:rPr>
        <w:t xml:space="preserve"> require that e</w:t>
      </w:r>
      <w:r w:rsidR="00CD1234" w:rsidRPr="006A7100">
        <w:rPr>
          <w:rFonts w:ascii="Arial" w:hAnsi="Arial" w:cs="Arial"/>
          <w:bCs/>
        </w:rPr>
        <w:t>ach IRB include at least one voting member who is not otherwise affiliated with the institution</w:t>
      </w:r>
      <w:r w:rsidR="00925A2F" w:rsidRPr="006A7100">
        <w:rPr>
          <w:rFonts w:ascii="Arial" w:hAnsi="Arial" w:cs="Arial"/>
          <w:bCs/>
        </w:rPr>
        <w:t>,</w:t>
      </w:r>
      <w:r w:rsidR="00CD1234" w:rsidRPr="006A7100">
        <w:rPr>
          <w:rFonts w:ascii="Arial" w:hAnsi="Arial" w:cs="Arial"/>
          <w:bCs/>
        </w:rPr>
        <w:t xml:space="preserve"> and who is not part of the immediate family of a person who is affiliated with the institution</w:t>
      </w:r>
      <w:r w:rsidR="00CD1234" w:rsidRPr="006A7100">
        <w:rPr>
          <w:rFonts w:ascii="Arial" w:hAnsi="Arial" w:cs="Arial"/>
          <w:bCs/>
          <w:sz w:val="24"/>
          <w:szCs w:val="24"/>
        </w:rPr>
        <w:t xml:space="preserve">. </w:t>
      </w:r>
      <w:r w:rsidR="00FB2A15" w:rsidRPr="006A7100">
        <w:rPr>
          <w:rFonts w:ascii="Arial" w:hAnsi="Arial" w:cs="Arial"/>
          <w:bCs/>
        </w:rPr>
        <w:t>For purposes of this guidance, institution refers to the VA facility</w:t>
      </w:r>
      <w:r w:rsidR="00666174" w:rsidRPr="006A7100">
        <w:rPr>
          <w:rFonts w:ascii="Arial" w:hAnsi="Arial" w:cs="Arial"/>
          <w:bCs/>
        </w:rPr>
        <w:t xml:space="preserve"> or the VHA Central Office Human Research Protection Program</w:t>
      </w:r>
      <w:r w:rsidR="00FB2A15" w:rsidRPr="006A7100">
        <w:rPr>
          <w:rFonts w:ascii="Arial" w:hAnsi="Arial" w:cs="Arial"/>
          <w:bCs/>
        </w:rPr>
        <w:t>.</w:t>
      </w:r>
      <w:r w:rsidR="00FB2A15" w:rsidRPr="006A7100">
        <w:rPr>
          <w:rFonts w:ascii="Arial" w:hAnsi="Arial" w:cs="Arial"/>
          <w:bCs/>
          <w:sz w:val="24"/>
          <w:szCs w:val="24"/>
        </w:rPr>
        <w:t xml:space="preserve"> </w:t>
      </w:r>
      <w:r w:rsidR="00CD1234" w:rsidRPr="006A7100">
        <w:rPr>
          <w:rFonts w:ascii="Arial" w:hAnsi="Arial" w:cs="Arial"/>
          <w:bCs/>
        </w:rPr>
        <w:t xml:space="preserve">The previous Handbook </w:t>
      </w:r>
      <w:r w:rsidR="002B47F8" w:rsidRPr="006A7100">
        <w:rPr>
          <w:rFonts w:ascii="Arial" w:hAnsi="Arial" w:cs="Arial"/>
          <w:bCs/>
        </w:rPr>
        <w:t xml:space="preserve">dated May 2, 2012, </w:t>
      </w:r>
      <w:r w:rsidR="00CD1234" w:rsidRPr="006A7100">
        <w:rPr>
          <w:rFonts w:ascii="Arial" w:hAnsi="Arial" w:cs="Arial"/>
          <w:bCs/>
        </w:rPr>
        <w:t>annotated considerations for determining who could be considered non-affiliated</w:t>
      </w:r>
      <w:r w:rsidR="00666174" w:rsidRPr="006A7100">
        <w:rPr>
          <w:rFonts w:ascii="Arial" w:hAnsi="Arial" w:cs="Arial"/>
          <w:bCs/>
        </w:rPr>
        <w:t xml:space="preserve"> IRB members</w:t>
      </w:r>
      <w:r w:rsidR="00CD1234" w:rsidRPr="006A7100">
        <w:rPr>
          <w:rFonts w:ascii="Arial" w:hAnsi="Arial" w:cs="Arial"/>
          <w:bCs/>
        </w:rPr>
        <w:t xml:space="preserve">. This guidance provides more information about considerations to guide VA </w:t>
      </w:r>
      <w:r w:rsidR="00666174" w:rsidRPr="006A7100">
        <w:rPr>
          <w:rFonts w:ascii="Arial" w:hAnsi="Arial" w:cs="Arial"/>
          <w:bCs/>
        </w:rPr>
        <w:t>institutions</w:t>
      </w:r>
      <w:r w:rsidR="00CD1234" w:rsidRPr="006A7100">
        <w:rPr>
          <w:rFonts w:ascii="Arial" w:hAnsi="Arial" w:cs="Arial"/>
          <w:bCs/>
        </w:rPr>
        <w:t xml:space="preserve"> in selecting and managing non-affiliated IRB members</w:t>
      </w:r>
      <w:r w:rsidR="002B47F8" w:rsidRPr="006A7100">
        <w:rPr>
          <w:rFonts w:ascii="Arial" w:hAnsi="Arial" w:cs="Arial"/>
          <w:bCs/>
        </w:rPr>
        <w:t xml:space="preserve"> </w:t>
      </w:r>
      <w:r w:rsidR="00AA2C9C" w:rsidRPr="006A7100">
        <w:rPr>
          <w:rFonts w:ascii="Arial" w:hAnsi="Arial" w:cs="Arial"/>
          <w:bCs/>
        </w:rPr>
        <w:t>in compliance with</w:t>
      </w:r>
      <w:r w:rsidR="002B47F8" w:rsidRPr="006A7100">
        <w:rPr>
          <w:rFonts w:ascii="Arial" w:hAnsi="Arial" w:cs="Arial"/>
          <w:bCs/>
        </w:rPr>
        <w:t xml:space="preserve"> the November 12,</w:t>
      </w:r>
      <w:r w:rsidR="002B47F8">
        <w:rPr>
          <w:rFonts w:ascii="Arial" w:hAnsi="Arial" w:cs="Arial"/>
          <w:bCs/>
        </w:rPr>
        <w:t xml:space="preserve"> 2014,</w:t>
      </w:r>
      <w:r w:rsidR="00747C81">
        <w:rPr>
          <w:rFonts w:ascii="Arial" w:hAnsi="Arial" w:cs="Arial"/>
          <w:bCs/>
        </w:rPr>
        <w:t xml:space="preserve"> version of</w:t>
      </w:r>
      <w:r w:rsidR="002B47F8">
        <w:rPr>
          <w:rFonts w:ascii="Arial" w:hAnsi="Arial" w:cs="Arial"/>
          <w:bCs/>
        </w:rPr>
        <w:t xml:space="preserve"> VHA Handbook 1200.05</w:t>
      </w:r>
      <w:r w:rsidR="00CD1234">
        <w:rPr>
          <w:rFonts w:ascii="Arial" w:hAnsi="Arial" w:cs="Arial"/>
          <w:bCs/>
        </w:rPr>
        <w:t>.</w:t>
      </w:r>
    </w:p>
    <w:p w:rsidR="00E65AF4" w:rsidRDefault="00E65AF4" w:rsidP="002F65A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</w:t>
      </w:r>
      <w:r w:rsidR="00596BD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C11610">
        <w:rPr>
          <w:rFonts w:ascii="Arial" w:hAnsi="Arial" w:cs="Arial"/>
        </w:rPr>
        <w:t>is a</w:t>
      </w:r>
      <w:r>
        <w:rPr>
          <w:rFonts w:ascii="Arial" w:hAnsi="Arial" w:cs="Arial"/>
        </w:rPr>
        <w:t xml:space="preserve"> non-affiliated individual?</w:t>
      </w:r>
    </w:p>
    <w:p w:rsidR="00925A2F" w:rsidRPr="00FB2A15" w:rsidRDefault="00925A2F" w:rsidP="002F65A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FB2A15">
        <w:rPr>
          <w:rFonts w:ascii="Arial" w:hAnsi="Arial" w:cs="Arial"/>
        </w:rPr>
        <w:t>What does</w:t>
      </w:r>
      <w:r w:rsidR="00E65AF4">
        <w:rPr>
          <w:rFonts w:ascii="Arial" w:hAnsi="Arial" w:cs="Arial"/>
        </w:rPr>
        <w:t xml:space="preserve"> academic</w:t>
      </w:r>
      <w:r w:rsidRPr="00FB2A15">
        <w:rPr>
          <w:rFonts w:ascii="Arial" w:hAnsi="Arial" w:cs="Arial"/>
        </w:rPr>
        <w:t xml:space="preserve"> “affiliation” mean for the purposes of this Guidance document?</w:t>
      </w:r>
    </w:p>
    <w:p w:rsidR="00666174" w:rsidRPr="00FB2A15" w:rsidRDefault="00666174" w:rsidP="00666174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FB2A15">
        <w:rPr>
          <w:rFonts w:ascii="Arial" w:hAnsi="Arial" w:cs="Arial"/>
        </w:rPr>
        <w:t>Are employees of the academic affiliate considered affiliated with VA</w:t>
      </w:r>
      <w:r w:rsidR="00AA325A">
        <w:rPr>
          <w:rFonts w:ascii="Arial" w:hAnsi="Arial" w:cs="Arial"/>
        </w:rPr>
        <w:t xml:space="preserve"> for purposes of the Guidance document</w:t>
      </w:r>
      <w:r w:rsidRPr="00FB2A15">
        <w:rPr>
          <w:rFonts w:ascii="Arial" w:hAnsi="Arial" w:cs="Arial"/>
        </w:rPr>
        <w:t>?</w:t>
      </w:r>
    </w:p>
    <w:p w:rsidR="001D3971" w:rsidRDefault="001D3971" w:rsidP="002F65A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FB2A15">
        <w:rPr>
          <w:rFonts w:ascii="Arial" w:hAnsi="Arial" w:cs="Arial"/>
        </w:rPr>
        <w:t>Are Veterans receiving care at the VA considered to be affiliated?</w:t>
      </w:r>
    </w:p>
    <w:p w:rsidR="00F41843" w:rsidRPr="00F41843" w:rsidRDefault="00F41843" w:rsidP="00F41843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ind w:left="360"/>
        <w:rPr>
          <w:rFonts w:ascii="Arial" w:hAnsi="Arial" w:cs="Arial"/>
          <w:spacing w:val="4"/>
        </w:rPr>
      </w:pPr>
      <w:r w:rsidRPr="00F41843">
        <w:rPr>
          <w:rFonts w:ascii="Arial" w:hAnsi="Arial" w:cs="Arial"/>
          <w:spacing w:val="4"/>
        </w:rPr>
        <w:t>Are Veterans who volunteer at the VA considered to be affiliated?</w:t>
      </w:r>
    </w:p>
    <w:p w:rsidR="001D3971" w:rsidRPr="00FB2A15" w:rsidRDefault="001D3971" w:rsidP="002F65A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FB2A15">
        <w:rPr>
          <w:rFonts w:ascii="Arial" w:hAnsi="Arial" w:cs="Arial"/>
        </w:rPr>
        <w:t>Are VA retirees considered affiliated</w:t>
      </w:r>
      <w:r w:rsidR="00AA325A">
        <w:rPr>
          <w:rFonts w:ascii="Arial" w:hAnsi="Arial" w:cs="Arial"/>
        </w:rPr>
        <w:t xml:space="preserve"> for purposes of the Guidance document</w:t>
      </w:r>
      <w:r w:rsidRPr="00FB2A15">
        <w:rPr>
          <w:rFonts w:ascii="Arial" w:hAnsi="Arial" w:cs="Arial"/>
        </w:rPr>
        <w:t>?</w:t>
      </w:r>
    </w:p>
    <w:p w:rsidR="00925A2F" w:rsidRPr="00FB2A15" w:rsidRDefault="00925A2F" w:rsidP="002F65A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FB2A15">
        <w:rPr>
          <w:rFonts w:ascii="Arial" w:hAnsi="Arial" w:cs="Arial"/>
        </w:rPr>
        <w:t xml:space="preserve">What does receiving a </w:t>
      </w:r>
      <w:r w:rsidR="00E42D5F" w:rsidRPr="00FB2A15">
        <w:rPr>
          <w:rFonts w:ascii="Arial" w:hAnsi="Arial" w:cs="Arial"/>
        </w:rPr>
        <w:t>without compensation (</w:t>
      </w:r>
      <w:r w:rsidRPr="00FB2A15">
        <w:rPr>
          <w:rFonts w:ascii="Arial" w:hAnsi="Arial" w:cs="Arial"/>
        </w:rPr>
        <w:t>WOC</w:t>
      </w:r>
      <w:r w:rsidR="00E42D5F" w:rsidRPr="00FB2A15">
        <w:rPr>
          <w:rFonts w:ascii="Arial" w:hAnsi="Arial" w:cs="Arial"/>
        </w:rPr>
        <w:t>)</w:t>
      </w:r>
      <w:r w:rsidRPr="00FB2A15">
        <w:rPr>
          <w:rFonts w:ascii="Arial" w:hAnsi="Arial" w:cs="Arial"/>
        </w:rPr>
        <w:t xml:space="preserve"> appointment mean? </w:t>
      </w:r>
    </w:p>
    <w:p w:rsidR="00E42D5F" w:rsidRPr="00FB2A15" w:rsidRDefault="00E42D5F" w:rsidP="00E42D5F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</w:rPr>
      </w:pPr>
      <w:r w:rsidRPr="00FB2A15">
        <w:rPr>
          <w:rFonts w:ascii="Arial" w:hAnsi="Arial" w:cs="Arial"/>
        </w:rPr>
        <w:t>Should a non-affiliated IRB member be given a WOC appointment?</w:t>
      </w:r>
    </w:p>
    <w:p w:rsidR="00DF6986" w:rsidRDefault="00DF6986" w:rsidP="00E42D5F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AA2C9C" w:rsidRPr="00666174" w:rsidRDefault="00C11610" w:rsidP="0066617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65AF4">
        <w:rPr>
          <w:rFonts w:ascii="Arial" w:hAnsi="Arial" w:cs="Arial"/>
          <w:b/>
        </w:rPr>
        <w:t xml:space="preserve">.  </w:t>
      </w:r>
      <w:r w:rsidR="00AA2C9C" w:rsidRPr="00666174">
        <w:rPr>
          <w:rFonts w:ascii="Arial" w:hAnsi="Arial" w:cs="Arial"/>
          <w:b/>
        </w:rPr>
        <w:t>Wh</w:t>
      </w:r>
      <w:r w:rsidR="00596BD5">
        <w:rPr>
          <w:rFonts w:ascii="Arial" w:hAnsi="Arial" w:cs="Arial"/>
          <w:b/>
        </w:rPr>
        <w:t>o is a</w:t>
      </w:r>
      <w:r w:rsidR="00747C81">
        <w:rPr>
          <w:rFonts w:ascii="Arial" w:hAnsi="Arial" w:cs="Arial"/>
          <w:b/>
        </w:rPr>
        <w:t xml:space="preserve"> “</w:t>
      </w:r>
      <w:r w:rsidR="00AA2C9C" w:rsidRPr="00666174">
        <w:rPr>
          <w:rFonts w:ascii="Arial" w:hAnsi="Arial" w:cs="Arial"/>
          <w:b/>
        </w:rPr>
        <w:t xml:space="preserve">non-affiliated </w:t>
      </w:r>
      <w:r w:rsidR="00E65AF4" w:rsidRPr="00666174">
        <w:rPr>
          <w:rFonts w:ascii="Arial" w:hAnsi="Arial" w:cs="Arial"/>
          <w:b/>
        </w:rPr>
        <w:t>individual</w:t>
      </w:r>
      <w:r w:rsidR="00596BD5">
        <w:rPr>
          <w:rFonts w:ascii="Arial" w:hAnsi="Arial" w:cs="Arial"/>
          <w:b/>
        </w:rPr>
        <w:t>?</w:t>
      </w:r>
      <w:r w:rsidR="00747C81">
        <w:rPr>
          <w:rFonts w:ascii="Arial" w:hAnsi="Arial" w:cs="Arial"/>
          <w:b/>
        </w:rPr>
        <w:t>”</w:t>
      </w:r>
      <w:r w:rsidR="00AA2C9C" w:rsidRPr="00666174">
        <w:rPr>
          <w:rFonts w:ascii="Arial" w:hAnsi="Arial" w:cs="Arial"/>
          <w:b/>
        </w:rPr>
        <w:t>?</w:t>
      </w:r>
    </w:p>
    <w:p w:rsidR="00AA2C9C" w:rsidRPr="00666174" w:rsidRDefault="00747C81" w:rsidP="006661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AA2C9C" w:rsidRPr="00666174">
        <w:rPr>
          <w:rFonts w:ascii="Arial" w:hAnsi="Arial" w:cs="Arial"/>
        </w:rPr>
        <w:t xml:space="preserve">Non-affiliated </w:t>
      </w:r>
      <w:r>
        <w:rPr>
          <w:rFonts w:ascii="Arial" w:hAnsi="Arial" w:cs="Arial"/>
        </w:rPr>
        <w:t xml:space="preserve">individual” </w:t>
      </w:r>
      <w:r w:rsidR="00AA2C9C" w:rsidRPr="00666174">
        <w:rPr>
          <w:rFonts w:ascii="Arial" w:hAnsi="Arial" w:cs="Arial"/>
        </w:rPr>
        <w:t xml:space="preserve">means </w:t>
      </w:r>
      <w:r w:rsidR="00596BD5">
        <w:rPr>
          <w:rFonts w:ascii="Arial" w:hAnsi="Arial" w:cs="Arial"/>
        </w:rPr>
        <w:t>an</w:t>
      </w:r>
      <w:r w:rsidR="00AA2C9C" w:rsidRPr="00666174">
        <w:rPr>
          <w:rFonts w:ascii="Arial" w:hAnsi="Arial" w:cs="Arial"/>
        </w:rPr>
        <w:t xml:space="preserve"> individual </w:t>
      </w:r>
      <w:r w:rsidR="00596BD5">
        <w:rPr>
          <w:rFonts w:ascii="Arial" w:hAnsi="Arial" w:cs="Arial"/>
        </w:rPr>
        <w:t xml:space="preserve">who </w:t>
      </w:r>
      <w:r w:rsidR="00AA2C9C" w:rsidRPr="00666174">
        <w:rPr>
          <w:rFonts w:ascii="Arial" w:hAnsi="Arial" w:cs="Arial"/>
        </w:rPr>
        <w:t>has no discernable ties,</w:t>
      </w:r>
      <w:r w:rsidR="00E65AF4" w:rsidRPr="00666174">
        <w:rPr>
          <w:rFonts w:ascii="Arial" w:hAnsi="Arial" w:cs="Arial"/>
        </w:rPr>
        <w:t xml:space="preserve"> </w:t>
      </w:r>
      <w:r w:rsidR="00AA2C9C" w:rsidRPr="00666174">
        <w:rPr>
          <w:rFonts w:ascii="Arial" w:hAnsi="Arial" w:cs="Arial"/>
        </w:rPr>
        <w:t xml:space="preserve">ongoing relationship, or association with the </w:t>
      </w:r>
      <w:r w:rsidR="00C9780B">
        <w:rPr>
          <w:rFonts w:ascii="Arial" w:hAnsi="Arial" w:cs="Arial"/>
        </w:rPr>
        <w:t>VA facility</w:t>
      </w:r>
      <w:r w:rsidR="00F41843">
        <w:rPr>
          <w:rFonts w:ascii="Arial" w:hAnsi="Arial" w:cs="Arial"/>
        </w:rPr>
        <w:t xml:space="preserve"> (but see paragraphs 3 and 4</w:t>
      </w:r>
      <w:r w:rsidR="00B45C1F">
        <w:rPr>
          <w:rFonts w:ascii="Arial" w:hAnsi="Arial" w:cs="Arial"/>
        </w:rPr>
        <w:t xml:space="preserve"> below)</w:t>
      </w:r>
      <w:r w:rsidR="00AA2C9C" w:rsidRPr="00666174">
        <w:rPr>
          <w:rFonts w:ascii="Arial" w:hAnsi="Arial" w:cs="Arial"/>
        </w:rPr>
        <w:t xml:space="preserve">.  </w:t>
      </w:r>
      <w:r w:rsidR="00B45C1F">
        <w:rPr>
          <w:rFonts w:ascii="Arial" w:hAnsi="Arial" w:cs="Arial"/>
        </w:rPr>
        <w:t>A</w:t>
      </w:r>
      <w:r w:rsidR="00E65AF4" w:rsidRPr="00666174">
        <w:rPr>
          <w:rFonts w:ascii="Arial" w:hAnsi="Arial" w:cs="Arial"/>
        </w:rPr>
        <w:t xml:space="preserve">n immediate family member (parent, spouse, child, </w:t>
      </w:r>
      <w:proofErr w:type="gramStart"/>
      <w:r w:rsidR="00E65AF4" w:rsidRPr="00666174">
        <w:rPr>
          <w:rFonts w:ascii="Arial" w:hAnsi="Arial" w:cs="Arial"/>
        </w:rPr>
        <w:t>sibling</w:t>
      </w:r>
      <w:proofErr w:type="gramEnd"/>
      <w:r w:rsidR="00E65AF4" w:rsidRPr="00666174">
        <w:rPr>
          <w:rFonts w:ascii="Arial" w:hAnsi="Arial" w:cs="Arial"/>
        </w:rPr>
        <w:t>) of an affiliated person</w:t>
      </w:r>
      <w:r w:rsidR="00B45C1F">
        <w:rPr>
          <w:rFonts w:ascii="Arial" w:hAnsi="Arial" w:cs="Arial"/>
        </w:rPr>
        <w:t xml:space="preserve"> may not be considered a “non-affiliated individual</w:t>
      </w:r>
      <w:r w:rsidR="00E65AF4" w:rsidRPr="00666174">
        <w:rPr>
          <w:rFonts w:ascii="Arial" w:hAnsi="Arial" w:cs="Arial"/>
        </w:rPr>
        <w:t>.</w:t>
      </w:r>
      <w:r w:rsidR="00B45C1F">
        <w:rPr>
          <w:rFonts w:ascii="Arial" w:hAnsi="Arial" w:cs="Arial"/>
        </w:rPr>
        <w:t>”</w:t>
      </w:r>
      <w:r w:rsidR="00AA2C9C" w:rsidRPr="00666174">
        <w:rPr>
          <w:rFonts w:ascii="Arial" w:hAnsi="Arial" w:cs="Arial"/>
        </w:rPr>
        <w:t xml:space="preserve"> </w:t>
      </w:r>
    </w:p>
    <w:p w:rsidR="00E42D5F" w:rsidRPr="00E42D5F" w:rsidRDefault="00666174" w:rsidP="001D39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1D3971" w:rsidRPr="001D3971">
        <w:rPr>
          <w:rFonts w:ascii="Arial" w:hAnsi="Arial" w:cs="Arial"/>
          <w:b/>
        </w:rPr>
        <w:t xml:space="preserve">. </w:t>
      </w:r>
      <w:r w:rsidR="00E42D5F" w:rsidRPr="00E42D5F">
        <w:rPr>
          <w:rFonts w:ascii="Arial" w:hAnsi="Arial" w:cs="Arial"/>
          <w:b/>
        </w:rPr>
        <w:t xml:space="preserve">What does </w:t>
      </w:r>
      <w:r w:rsidR="00E65AF4">
        <w:rPr>
          <w:rFonts w:ascii="Arial" w:hAnsi="Arial" w:cs="Arial"/>
          <w:b/>
        </w:rPr>
        <w:t xml:space="preserve">academic </w:t>
      </w:r>
      <w:r w:rsidR="00E42D5F" w:rsidRPr="00E42D5F">
        <w:rPr>
          <w:rFonts w:ascii="Arial" w:hAnsi="Arial" w:cs="Arial"/>
          <w:b/>
        </w:rPr>
        <w:t>“affiliation” mean for the purposes of this Guidance document?</w:t>
      </w:r>
    </w:p>
    <w:p w:rsidR="00666174" w:rsidRDefault="00E42D5F" w:rsidP="001D3971">
      <w:pPr>
        <w:spacing w:after="0" w:line="240" w:lineRule="auto"/>
        <w:rPr>
          <w:rFonts w:ascii="Arial" w:hAnsi="Arial" w:cs="Arial"/>
          <w:b/>
        </w:rPr>
      </w:pPr>
      <w:r w:rsidRPr="00E42D5F">
        <w:rPr>
          <w:rFonts w:ascii="Arial" w:hAnsi="Arial" w:cs="Arial"/>
          <w:b/>
        </w:rPr>
        <w:t xml:space="preserve">    </w:t>
      </w:r>
    </w:p>
    <w:p w:rsidR="00E42D5F" w:rsidRPr="00E42D5F" w:rsidRDefault="00B45C1F" w:rsidP="001D397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An “academic affiliate” </w:t>
      </w:r>
      <w:r w:rsidR="00FB2A15" w:rsidRPr="00666174">
        <w:rPr>
          <w:rFonts w:ascii="Arial" w:hAnsi="Arial" w:cs="Arial"/>
          <w:bCs/>
        </w:rPr>
        <w:t>means</w:t>
      </w:r>
      <w:r w:rsidR="00E42D5F" w:rsidRPr="00E42D5F">
        <w:rPr>
          <w:rFonts w:ascii="Arial" w:hAnsi="Arial" w:cs="Arial"/>
        </w:rPr>
        <w:t xml:space="preserve"> an academic institution that has a relationship for the purpose of education, research, or enhanced patient care with a VA </w:t>
      </w:r>
      <w:r w:rsidR="00FB2A15">
        <w:rPr>
          <w:rFonts w:ascii="Arial" w:hAnsi="Arial" w:cs="Arial"/>
        </w:rPr>
        <w:t xml:space="preserve">facility </w:t>
      </w:r>
      <w:r w:rsidR="00E42D5F" w:rsidRPr="00E42D5F">
        <w:rPr>
          <w:rFonts w:ascii="Arial" w:hAnsi="Arial" w:cs="Arial"/>
        </w:rPr>
        <w:t>documented by a</w:t>
      </w:r>
      <w:r w:rsidR="00596BD5">
        <w:rPr>
          <w:rFonts w:ascii="Arial" w:hAnsi="Arial" w:cs="Arial"/>
        </w:rPr>
        <w:t>n executed</w:t>
      </w:r>
      <w:r w:rsidR="00E42D5F" w:rsidRPr="00E42D5F">
        <w:rPr>
          <w:rFonts w:ascii="Arial" w:hAnsi="Arial" w:cs="Arial"/>
        </w:rPr>
        <w:t xml:space="preserve"> Affiliation Agreement in conformance with VA requirements. In addition, special purpose agreements documented by a memorandum of understanding approved by the Chief Research and Development Officer may be developed in research and development (R&amp;D) areas, such as health services or rehabilitation R&amp;D.</w:t>
      </w:r>
    </w:p>
    <w:p w:rsidR="00E42D5F" w:rsidRDefault="00E42D5F" w:rsidP="001D3971">
      <w:pPr>
        <w:spacing w:after="0" w:line="240" w:lineRule="auto"/>
        <w:rPr>
          <w:rFonts w:ascii="Arial" w:hAnsi="Arial" w:cs="Arial"/>
          <w:b/>
        </w:rPr>
      </w:pPr>
    </w:p>
    <w:p w:rsidR="00666174" w:rsidRPr="00B10279" w:rsidRDefault="00666174" w:rsidP="0066617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B10279">
        <w:rPr>
          <w:rFonts w:ascii="Arial" w:hAnsi="Arial" w:cs="Arial"/>
          <w:b/>
        </w:rPr>
        <w:t>. Are employees of the academic affiliate considered affiliated with VA</w:t>
      </w:r>
      <w:r w:rsidR="00B45C1F">
        <w:rPr>
          <w:rFonts w:ascii="Arial" w:hAnsi="Arial" w:cs="Arial"/>
          <w:b/>
        </w:rPr>
        <w:t xml:space="preserve"> for purposes of this Guidance document</w:t>
      </w:r>
      <w:r w:rsidRPr="00B10279">
        <w:rPr>
          <w:rFonts w:ascii="Arial" w:hAnsi="Arial" w:cs="Arial"/>
          <w:b/>
        </w:rPr>
        <w:t>?</w:t>
      </w:r>
    </w:p>
    <w:p w:rsidR="00666174" w:rsidRDefault="00666174" w:rsidP="00666174">
      <w:pPr>
        <w:spacing w:after="0" w:line="240" w:lineRule="auto"/>
        <w:rPr>
          <w:rFonts w:ascii="Arial" w:hAnsi="Arial" w:cs="Arial"/>
        </w:rPr>
      </w:pPr>
    </w:p>
    <w:p w:rsidR="00666174" w:rsidRDefault="00C9780B" w:rsidP="0066617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66174">
        <w:rPr>
          <w:rFonts w:ascii="Arial" w:hAnsi="Arial" w:cs="Arial"/>
        </w:rPr>
        <w:t>mployee</w:t>
      </w:r>
      <w:r>
        <w:rPr>
          <w:rFonts w:ascii="Arial" w:hAnsi="Arial" w:cs="Arial"/>
        </w:rPr>
        <w:t>s</w:t>
      </w:r>
      <w:r w:rsidR="00666174">
        <w:rPr>
          <w:rFonts w:ascii="Arial" w:hAnsi="Arial" w:cs="Arial"/>
        </w:rPr>
        <w:t xml:space="preserve"> of the academic affiliate </w:t>
      </w:r>
      <w:r>
        <w:rPr>
          <w:rFonts w:ascii="Arial" w:hAnsi="Arial" w:cs="Arial"/>
        </w:rPr>
        <w:t>are considered non-affiliated for purposes of determining membership eligibility on a VA IRB if they do not have an</w:t>
      </w:r>
      <w:r w:rsidR="00666174">
        <w:rPr>
          <w:rFonts w:ascii="Arial" w:hAnsi="Arial" w:cs="Arial"/>
        </w:rPr>
        <w:t xml:space="preserve"> appointment (i.e., compensated, </w:t>
      </w:r>
      <w:r w:rsidR="006A7100" w:rsidRPr="006A7100">
        <w:rPr>
          <w:rStyle w:val="Emphasis"/>
          <w:rFonts w:ascii="Arial" w:hAnsi="Arial" w:cs="Arial"/>
          <w:b w:val="0"/>
          <w:color w:val="222222"/>
          <w:lang w:val="en"/>
        </w:rPr>
        <w:lastRenderedPageBreak/>
        <w:t xml:space="preserve">Intergovernmental Personnel Act </w:t>
      </w:r>
      <w:r w:rsidR="006A7100">
        <w:rPr>
          <w:rStyle w:val="Emphasis"/>
          <w:rFonts w:ascii="Arial" w:hAnsi="Arial" w:cs="Arial"/>
          <w:b w:val="0"/>
          <w:color w:val="222222"/>
          <w:lang w:val="en"/>
        </w:rPr>
        <w:t>(</w:t>
      </w:r>
      <w:r w:rsidR="00666174">
        <w:rPr>
          <w:rFonts w:ascii="Arial" w:hAnsi="Arial" w:cs="Arial"/>
        </w:rPr>
        <w:t>IPA</w:t>
      </w:r>
      <w:r w:rsidR="006A7100">
        <w:rPr>
          <w:rFonts w:ascii="Arial" w:hAnsi="Arial" w:cs="Arial"/>
        </w:rPr>
        <w:t>)</w:t>
      </w:r>
      <w:r w:rsidR="00666174">
        <w:rPr>
          <w:rFonts w:ascii="Arial" w:hAnsi="Arial" w:cs="Arial"/>
        </w:rPr>
        <w:t>, or WOC) at the VA,</w:t>
      </w:r>
      <w:r w:rsidR="00492A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any</w:t>
      </w:r>
      <w:r w:rsidR="00492A85">
        <w:rPr>
          <w:rFonts w:ascii="Arial" w:hAnsi="Arial" w:cs="Arial"/>
        </w:rPr>
        <w:t xml:space="preserve"> </w:t>
      </w:r>
      <w:r w:rsidR="00492A85" w:rsidRPr="00666174">
        <w:rPr>
          <w:rFonts w:ascii="Arial" w:hAnsi="Arial" w:cs="Arial"/>
        </w:rPr>
        <w:t xml:space="preserve">discernable ties, ongoing relationship, or association with the </w:t>
      </w:r>
      <w:r>
        <w:rPr>
          <w:rFonts w:ascii="Arial" w:hAnsi="Arial" w:cs="Arial"/>
        </w:rPr>
        <w:t>VA</w:t>
      </w:r>
      <w:r w:rsidR="00666174">
        <w:rPr>
          <w:rFonts w:ascii="Arial" w:hAnsi="Arial" w:cs="Arial"/>
        </w:rPr>
        <w:t>.</w:t>
      </w:r>
    </w:p>
    <w:p w:rsidR="00666174" w:rsidRPr="001D3971" w:rsidRDefault="00666174" w:rsidP="00666174">
      <w:pPr>
        <w:spacing w:after="0" w:line="240" w:lineRule="auto"/>
        <w:ind w:left="360"/>
        <w:rPr>
          <w:rFonts w:ascii="Arial" w:hAnsi="Arial" w:cs="Arial"/>
          <w:b/>
        </w:rPr>
      </w:pPr>
    </w:p>
    <w:p w:rsidR="001D3971" w:rsidRDefault="002636C9" w:rsidP="001D397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42D5F">
        <w:rPr>
          <w:rFonts w:ascii="Arial" w:hAnsi="Arial" w:cs="Arial"/>
          <w:b/>
        </w:rPr>
        <w:t xml:space="preserve">. </w:t>
      </w:r>
      <w:r w:rsidR="001D3971" w:rsidRPr="001D3971">
        <w:rPr>
          <w:rFonts w:ascii="Arial" w:hAnsi="Arial" w:cs="Arial"/>
          <w:b/>
        </w:rPr>
        <w:t>Are Veterans receiving care at the VA considered to be affiliated?</w:t>
      </w:r>
    </w:p>
    <w:p w:rsidR="002636C9" w:rsidRDefault="002636C9" w:rsidP="002636C9">
      <w:pPr>
        <w:spacing w:after="0" w:line="240" w:lineRule="auto"/>
        <w:rPr>
          <w:rFonts w:ascii="Arial" w:hAnsi="Arial" w:cs="Arial"/>
          <w:spacing w:val="-4"/>
        </w:rPr>
      </w:pPr>
    </w:p>
    <w:p w:rsidR="00F41843" w:rsidRDefault="00B10279" w:rsidP="002636C9">
      <w:pPr>
        <w:spacing w:after="0" w:line="240" w:lineRule="auto"/>
        <w:rPr>
          <w:rFonts w:ascii="Arial" w:hAnsi="Arial" w:cs="Arial"/>
          <w:spacing w:val="4"/>
        </w:rPr>
      </w:pPr>
      <w:r w:rsidRPr="00B10279">
        <w:rPr>
          <w:rFonts w:ascii="Arial" w:hAnsi="Arial" w:cs="Arial"/>
          <w:spacing w:val="-4"/>
        </w:rPr>
        <w:t xml:space="preserve">Veterans whose </w:t>
      </w:r>
      <w:r w:rsidRPr="00C9780B">
        <w:rPr>
          <w:rFonts w:ascii="Arial" w:hAnsi="Arial" w:cs="Arial"/>
          <w:spacing w:val="-4"/>
          <w:u w:val="single"/>
        </w:rPr>
        <w:t>only</w:t>
      </w:r>
      <w:r w:rsidRPr="00B10279">
        <w:rPr>
          <w:rFonts w:ascii="Arial" w:hAnsi="Arial" w:cs="Arial"/>
          <w:spacing w:val="-4"/>
        </w:rPr>
        <w:t xml:space="preserve"> relationship with VA is receiving care at a VA facility or receiving </w:t>
      </w:r>
      <w:r w:rsidRPr="00B10279">
        <w:rPr>
          <w:rFonts w:ascii="Arial" w:hAnsi="Arial" w:cs="Arial"/>
          <w:spacing w:val="-2"/>
        </w:rPr>
        <w:t xml:space="preserve">benefits from the Veterans Benefits Administration are not considered to be </w:t>
      </w:r>
      <w:r w:rsidR="00492A85">
        <w:rPr>
          <w:rFonts w:ascii="Arial" w:hAnsi="Arial" w:cs="Arial"/>
          <w:spacing w:val="-2"/>
        </w:rPr>
        <w:t>“</w:t>
      </w:r>
      <w:r w:rsidRPr="00B10279">
        <w:rPr>
          <w:rFonts w:ascii="Arial" w:hAnsi="Arial" w:cs="Arial"/>
          <w:spacing w:val="-2"/>
        </w:rPr>
        <w:t>affiliated</w:t>
      </w:r>
      <w:r w:rsidR="00492A85">
        <w:rPr>
          <w:rFonts w:ascii="Arial" w:hAnsi="Arial" w:cs="Arial"/>
          <w:spacing w:val="-2"/>
        </w:rPr>
        <w:t>”</w:t>
      </w:r>
      <w:r w:rsidRPr="00B10279">
        <w:rPr>
          <w:rFonts w:ascii="Arial" w:hAnsi="Arial" w:cs="Arial"/>
          <w:spacing w:val="-2"/>
        </w:rPr>
        <w:t xml:space="preserve"> for the </w:t>
      </w:r>
      <w:r w:rsidRPr="00B10279">
        <w:rPr>
          <w:rFonts w:ascii="Arial" w:hAnsi="Arial" w:cs="Arial"/>
          <w:spacing w:val="4"/>
        </w:rPr>
        <w:t>purpose of being an IRB member.</w:t>
      </w:r>
    </w:p>
    <w:p w:rsidR="00F41843" w:rsidRDefault="00F41843" w:rsidP="002636C9">
      <w:pPr>
        <w:spacing w:after="0" w:line="240" w:lineRule="auto"/>
        <w:rPr>
          <w:rFonts w:ascii="Arial" w:hAnsi="Arial" w:cs="Arial"/>
          <w:spacing w:val="4"/>
        </w:rPr>
      </w:pPr>
    </w:p>
    <w:p w:rsidR="00F41843" w:rsidRPr="00F41843" w:rsidRDefault="00F41843" w:rsidP="002636C9">
      <w:pPr>
        <w:spacing w:after="0" w:line="240" w:lineRule="auto"/>
        <w:rPr>
          <w:rFonts w:ascii="Arial" w:hAnsi="Arial" w:cs="Arial"/>
          <w:b/>
          <w:spacing w:val="4"/>
        </w:rPr>
      </w:pPr>
      <w:r w:rsidRPr="00F41843">
        <w:rPr>
          <w:rFonts w:ascii="Arial" w:hAnsi="Arial" w:cs="Arial"/>
          <w:b/>
          <w:spacing w:val="4"/>
        </w:rPr>
        <w:t>5. Are Veterans who volunteer at the VA considered to be affiliated?</w:t>
      </w:r>
    </w:p>
    <w:p w:rsidR="00F41843" w:rsidRDefault="00F41843" w:rsidP="002636C9">
      <w:pPr>
        <w:spacing w:after="0" w:line="240" w:lineRule="auto"/>
        <w:rPr>
          <w:rFonts w:ascii="Arial" w:hAnsi="Arial" w:cs="Arial"/>
          <w:spacing w:val="4"/>
        </w:rPr>
      </w:pPr>
    </w:p>
    <w:p w:rsidR="001D3971" w:rsidRPr="00B10279" w:rsidRDefault="00B10279" w:rsidP="002636C9">
      <w:pPr>
        <w:spacing w:after="0" w:line="240" w:lineRule="auto"/>
        <w:rPr>
          <w:rFonts w:ascii="Arial" w:hAnsi="Arial" w:cs="Arial"/>
        </w:rPr>
      </w:pPr>
      <w:r w:rsidRPr="00B10279">
        <w:rPr>
          <w:rFonts w:ascii="Arial" w:hAnsi="Arial" w:cs="Arial"/>
          <w:spacing w:val="4"/>
        </w:rPr>
        <w:t xml:space="preserve">Individuals who perform occasional volunteer activities </w:t>
      </w:r>
      <w:r w:rsidR="00492A85">
        <w:rPr>
          <w:rFonts w:ascii="Arial" w:hAnsi="Arial" w:cs="Arial"/>
          <w:spacing w:val="4"/>
        </w:rPr>
        <w:t xml:space="preserve">at VA </w:t>
      </w:r>
      <w:r w:rsidRPr="00B10279">
        <w:rPr>
          <w:rFonts w:ascii="Arial" w:hAnsi="Arial" w:cs="Arial"/>
          <w:spacing w:val="-2"/>
        </w:rPr>
        <w:t xml:space="preserve">without a WOC appointment are not considered </w:t>
      </w:r>
      <w:r w:rsidR="00492A85">
        <w:rPr>
          <w:rFonts w:ascii="Arial" w:hAnsi="Arial" w:cs="Arial"/>
          <w:spacing w:val="-2"/>
        </w:rPr>
        <w:t>“</w:t>
      </w:r>
      <w:r w:rsidRPr="00B10279">
        <w:rPr>
          <w:rFonts w:ascii="Arial" w:hAnsi="Arial" w:cs="Arial"/>
          <w:spacing w:val="-2"/>
        </w:rPr>
        <w:t>affiliated</w:t>
      </w:r>
      <w:r w:rsidR="00492A85">
        <w:rPr>
          <w:rFonts w:ascii="Arial" w:hAnsi="Arial" w:cs="Arial"/>
          <w:spacing w:val="-2"/>
        </w:rPr>
        <w:t>” for purposes of this Guidance document</w:t>
      </w:r>
      <w:r w:rsidRPr="00B10279">
        <w:rPr>
          <w:rFonts w:ascii="Arial" w:hAnsi="Arial" w:cs="Arial"/>
          <w:spacing w:val="-2"/>
        </w:rPr>
        <w:t xml:space="preserve">. However, those who hold a WOC </w:t>
      </w:r>
      <w:r w:rsidRPr="00B10279">
        <w:rPr>
          <w:rFonts w:ascii="Arial" w:hAnsi="Arial" w:cs="Arial"/>
        </w:rPr>
        <w:t>appointment for volunteer activities other than IRB service are considered to be affiliated.</w:t>
      </w:r>
    </w:p>
    <w:p w:rsidR="00B10279" w:rsidRDefault="00B10279" w:rsidP="001D3971">
      <w:pPr>
        <w:spacing w:after="0" w:line="240" w:lineRule="auto"/>
        <w:rPr>
          <w:sz w:val="24"/>
          <w:szCs w:val="24"/>
        </w:rPr>
      </w:pPr>
    </w:p>
    <w:p w:rsidR="00B10279" w:rsidRPr="00B10279" w:rsidRDefault="0045536A" w:rsidP="001D397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10279" w:rsidRPr="00B10279">
        <w:rPr>
          <w:rFonts w:ascii="Arial" w:hAnsi="Arial" w:cs="Arial"/>
          <w:b/>
        </w:rPr>
        <w:t xml:space="preserve">. Are VA retirees considered </w:t>
      </w:r>
      <w:r w:rsidR="006E6F44">
        <w:rPr>
          <w:rFonts w:ascii="Arial" w:hAnsi="Arial" w:cs="Arial"/>
          <w:b/>
        </w:rPr>
        <w:t>“</w:t>
      </w:r>
      <w:r w:rsidR="00B10279" w:rsidRPr="00B10279">
        <w:rPr>
          <w:rFonts w:ascii="Arial" w:hAnsi="Arial" w:cs="Arial"/>
          <w:b/>
        </w:rPr>
        <w:t>affiliated</w:t>
      </w:r>
      <w:r w:rsidR="006E6F44">
        <w:rPr>
          <w:rFonts w:ascii="Arial" w:hAnsi="Arial" w:cs="Arial"/>
          <w:b/>
        </w:rPr>
        <w:t>” for purposes of this Guidance document</w:t>
      </w:r>
      <w:r w:rsidR="00B10279" w:rsidRPr="00B10279">
        <w:rPr>
          <w:rFonts w:ascii="Arial" w:hAnsi="Arial" w:cs="Arial"/>
          <w:b/>
        </w:rPr>
        <w:t>?</w:t>
      </w:r>
    </w:p>
    <w:p w:rsidR="002636C9" w:rsidRDefault="002636C9" w:rsidP="002636C9">
      <w:pPr>
        <w:spacing w:after="0" w:line="240" w:lineRule="auto"/>
        <w:rPr>
          <w:rFonts w:ascii="Arial" w:hAnsi="Arial" w:cs="Arial"/>
          <w:spacing w:val="-1"/>
        </w:rPr>
      </w:pPr>
    </w:p>
    <w:p w:rsidR="00B10279" w:rsidRDefault="007C733D" w:rsidP="001D3971">
      <w:pPr>
        <w:spacing w:after="0" w:line="240" w:lineRule="auto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Individuals who have retired from VA are considered affiliated for purposes of det</w:t>
      </w:r>
      <w:r>
        <w:rPr>
          <w:rFonts w:ascii="Arial" w:hAnsi="Arial" w:cs="Arial"/>
        </w:rPr>
        <w:t>ermining membership eligibility on a VA IRB</w:t>
      </w:r>
      <w:r>
        <w:rPr>
          <w:rFonts w:ascii="Arial" w:hAnsi="Arial" w:cs="Arial"/>
          <w:spacing w:val="-1"/>
          <w:u w:val="single"/>
        </w:rPr>
        <w:t xml:space="preserve"> only</w:t>
      </w:r>
      <w:r w:rsidR="00AA325A">
        <w:rPr>
          <w:rFonts w:ascii="Arial" w:hAnsi="Arial" w:cs="Arial"/>
          <w:spacing w:val="-1"/>
        </w:rPr>
        <w:t xml:space="preserve"> if they are </w:t>
      </w:r>
      <w:r>
        <w:rPr>
          <w:rFonts w:ascii="Arial" w:hAnsi="Arial" w:cs="Arial"/>
          <w:spacing w:val="-1"/>
        </w:rPr>
        <w:t>receiving VA retirement benefits.</w:t>
      </w:r>
    </w:p>
    <w:p w:rsidR="007C733D" w:rsidRDefault="007C733D" w:rsidP="001D3971">
      <w:pPr>
        <w:spacing w:after="0" w:line="240" w:lineRule="auto"/>
        <w:rPr>
          <w:sz w:val="24"/>
          <w:szCs w:val="24"/>
        </w:rPr>
      </w:pPr>
    </w:p>
    <w:p w:rsidR="00E42D5F" w:rsidRPr="00E42D5F" w:rsidRDefault="0045536A" w:rsidP="00FB2A15">
      <w:pPr>
        <w:keepNext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5209E" w:rsidRPr="00574E53">
        <w:rPr>
          <w:rFonts w:ascii="Arial" w:hAnsi="Arial" w:cs="Arial"/>
          <w:b/>
        </w:rPr>
        <w:t xml:space="preserve">. </w:t>
      </w:r>
      <w:r w:rsidR="00E42D5F" w:rsidRPr="00E42D5F">
        <w:rPr>
          <w:rFonts w:ascii="Arial" w:hAnsi="Arial" w:cs="Arial"/>
          <w:b/>
        </w:rPr>
        <w:t xml:space="preserve">What does receiving a WOC appointment mean? </w:t>
      </w:r>
    </w:p>
    <w:p w:rsidR="00596BD5" w:rsidRDefault="00E42D5F" w:rsidP="002636C9">
      <w:pPr>
        <w:spacing w:line="240" w:lineRule="auto"/>
        <w:rPr>
          <w:rFonts w:ascii="Arial" w:hAnsi="Arial" w:cs="Arial"/>
          <w:szCs w:val="24"/>
        </w:rPr>
      </w:pPr>
      <w:r w:rsidRPr="00E42D5F">
        <w:rPr>
          <w:rFonts w:ascii="Arial" w:hAnsi="Arial" w:cs="Arial"/>
          <w:szCs w:val="24"/>
        </w:rPr>
        <w:t xml:space="preserve">A WOC is an individual that has an official VA appointment, but does not receive any salary or benefits from VA (38 U.S.C. </w:t>
      </w:r>
      <w:r w:rsidR="00AE2DA4">
        <w:rPr>
          <w:rFonts w:ascii="Arial" w:hAnsi="Arial" w:cs="Arial"/>
          <w:szCs w:val="24"/>
        </w:rPr>
        <w:t>§</w:t>
      </w:r>
      <w:r w:rsidR="00DC2A97">
        <w:rPr>
          <w:rFonts w:ascii="Arial" w:hAnsi="Arial" w:cs="Arial"/>
          <w:szCs w:val="24"/>
        </w:rPr>
        <w:t>§</w:t>
      </w:r>
      <w:r w:rsidR="00AE2DA4">
        <w:rPr>
          <w:rFonts w:ascii="Arial" w:hAnsi="Arial" w:cs="Arial"/>
          <w:szCs w:val="24"/>
        </w:rPr>
        <w:t xml:space="preserve"> </w:t>
      </w:r>
      <w:r w:rsidR="00DC2A97">
        <w:rPr>
          <w:rFonts w:ascii="Arial" w:hAnsi="Arial" w:cs="Arial"/>
          <w:szCs w:val="24"/>
        </w:rPr>
        <w:t>513,</w:t>
      </w:r>
      <w:r w:rsidRPr="00E42D5F">
        <w:rPr>
          <w:rFonts w:ascii="Arial" w:hAnsi="Arial" w:cs="Arial"/>
          <w:szCs w:val="24"/>
        </w:rPr>
        <w:t xml:space="preserve"> 7405(a</w:t>
      </w:r>
      <w:proofErr w:type="gramStart"/>
      <w:r w:rsidRPr="00E42D5F">
        <w:rPr>
          <w:rFonts w:ascii="Arial" w:hAnsi="Arial" w:cs="Arial"/>
          <w:szCs w:val="24"/>
        </w:rPr>
        <w:t>)(</w:t>
      </w:r>
      <w:proofErr w:type="gramEnd"/>
      <w:r w:rsidRPr="00E42D5F">
        <w:rPr>
          <w:rFonts w:ascii="Arial" w:hAnsi="Arial" w:cs="Arial"/>
          <w:szCs w:val="24"/>
        </w:rPr>
        <w:t xml:space="preserve">1)).  This appointment may allow the individual to support VA’s research program in various capacities including, but not limited to, investigator, research coordinator, and administrator while at VA for a defined period of time.  </w:t>
      </w:r>
    </w:p>
    <w:p w:rsidR="00596BD5" w:rsidRDefault="00E42D5F" w:rsidP="002636C9">
      <w:pPr>
        <w:spacing w:line="240" w:lineRule="auto"/>
        <w:rPr>
          <w:rFonts w:ascii="Arial" w:hAnsi="Arial" w:cs="Arial"/>
          <w:szCs w:val="24"/>
        </w:rPr>
      </w:pPr>
      <w:r w:rsidRPr="00E42D5F">
        <w:rPr>
          <w:rFonts w:ascii="Arial" w:hAnsi="Arial" w:cs="Arial"/>
          <w:szCs w:val="24"/>
        </w:rPr>
        <w:t>WOCs are subject to all laws and regulations pertaining to government personnel, including, but not limited to, government ethics laws and standards of conduct and VHA’s credentialing and privileging policy.</w:t>
      </w:r>
      <w:r w:rsidR="00C11610">
        <w:rPr>
          <w:rFonts w:ascii="Arial" w:hAnsi="Arial" w:cs="Arial"/>
          <w:szCs w:val="24"/>
        </w:rPr>
        <w:t xml:space="preserve"> A WOC is considered a VA employee</w:t>
      </w:r>
      <w:r w:rsidR="002636C9">
        <w:rPr>
          <w:rFonts w:ascii="Arial" w:hAnsi="Arial" w:cs="Arial"/>
          <w:szCs w:val="24"/>
        </w:rPr>
        <w:t>.</w:t>
      </w:r>
      <w:r w:rsidRPr="00E42D5F">
        <w:rPr>
          <w:rFonts w:ascii="Arial" w:hAnsi="Arial" w:cs="Arial"/>
          <w:szCs w:val="24"/>
        </w:rPr>
        <w:t xml:space="preserve">  </w:t>
      </w:r>
    </w:p>
    <w:p w:rsidR="00E42D5F" w:rsidRPr="00E42D5F" w:rsidRDefault="00E42D5F" w:rsidP="002636C9">
      <w:pPr>
        <w:spacing w:line="240" w:lineRule="auto"/>
        <w:rPr>
          <w:rFonts w:ascii="Arial" w:hAnsi="Arial" w:cs="Arial"/>
          <w:szCs w:val="24"/>
        </w:rPr>
      </w:pPr>
      <w:r w:rsidRPr="00E42D5F">
        <w:rPr>
          <w:rFonts w:ascii="Arial" w:hAnsi="Arial" w:cs="Arial"/>
          <w:b/>
          <w:bCs/>
          <w:i/>
          <w:szCs w:val="24"/>
        </w:rPr>
        <w:t xml:space="preserve">NOTE:  </w:t>
      </w:r>
      <w:r w:rsidRPr="00E42D5F">
        <w:rPr>
          <w:rFonts w:ascii="Arial" w:hAnsi="Arial" w:cs="Arial"/>
          <w:bCs/>
          <w:i/>
          <w:szCs w:val="24"/>
        </w:rPr>
        <w:t>A WOC</w:t>
      </w:r>
      <w:r w:rsidRPr="00E42D5F">
        <w:rPr>
          <w:rFonts w:ascii="Arial" w:hAnsi="Arial" w:cs="Arial"/>
          <w:b/>
          <w:bCs/>
          <w:i/>
          <w:szCs w:val="24"/>
        </w:rPr>
        <w:t xml:space="preserve"> </w:t>
      </w:r>
      <w:r w:rsidRPr="00E42D5F">
        <w:rPr>
          <w:rFonts w:ascii="Arial" w:hAnsi="Arial" w:cs="Arial"/>
          <w:i/>
          <w:szCs w:val="24"/>
        </w:rPr>
        <w:t xml:space="preserve">may be an employee of a university affiliate or other nonprofit organization and is not under an </w:t>
      </w:r>
      <w:r w:rsidR="00C11610">
        <w:rPr>
          <w:rStyle w:val="Emphasis"/>
          <w:rFonts w:ascii="Arial" w:hAnsi="Arial" w:cs="Arial"/>
          <w:b w:val="0"/>
          <w:i/>
          <w:color w:val="222222"/>
          <w:lang w:val="en"/>
        </w:rPr>
        <w:t>IPA</w:t>
      </w:r>
      <w:r w:rsidRPr="00E42D5F">
        <w:rPr>
          <w:rFonts w:ascii="Arial" w:hAnsi="Arial" w:cs="Arial"/>
          <w:i/>
          <w:szCs w:val="24"/>
        </w:rPr>
        <w:t>.</w:t>
      </w:r>
      <w:r w:rsidR="00C11610">
        <w:rPr>
          <w:rFonts w:ascii="Arial" w:hAnsi="Arial" w:cs="Arial"/>
          <w:i/>
          <w:szCs w:val="24"/>
        </w:rPr>
        <w:t xml:space="preserve"> An IPA is also a VA appointment that allows an individual to serve as a VA employee, therefore, an IPA does not require a WOC appointment.  </w:t>
      </w:r>
    </w:p>
    <w:p w:rsidR="0035209E" w:rsidRPr="004F764A" w:rsidRDefault="0045536A" w:rsidP="00FB2A1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="004F764A" w:rsidRPr="004F764A">
        <w:rPr>
          <w:rFonts w:ascii="Arial" w:hAnsi="Arial" w:cs="Arial"/>
          <w:b/>
        </w:rPr>
        <w:t>Should a nonaffiliated IRB member be given a WOC appointment</w:t>
      </w:r>
      <w:r w:rsidR="0035209E" w:rsidRPr="004F764A">
        <w:rPr>
          <w:rFonts w:ascii="Arial" w:hAnsi="Arial" w:cs="Arial"/>
          <w:b/>
        </w:rPr>
        <w:t>?</w:t>
      </w:r>
    </w:p>
    <w:p w:rsidR="004F764A" w:rsidRDefault="004F764A" w:rsidP="002636C9">
      <w:pPr>
        <w:pStyle w:val="PlainText"/>
        <w:rPr>
          <w:rFonts w:ascii="Arial" w:hAnsi="Arial" w:cs="Arial"/>
          <w:i/>
          <w:color w:val="auto"/>
        </w:rPr>
      </w:pPr>
      <w:r w:rsidRPr="004F764A">
        <w:rPr>
          <w:rFonts w:ascii="Arial" w:hAnsi="Arial" w:cs="Arial"/>
          <w:color w:val="auto"/>
        </w:rPr>
        <w:t xml:space="preserve">A nonaffiliated </w:t>
      </w:r>
      <w:r w:rsidR="00925A2F">
        <w:rPr>
          <w:rFonts w:ascii="Arial" w:hAnsi="Arial" w:cs="Arial"/>
          <w:color w:val="auto"/>
        </w:rPr>
        <w:t xml:space="preserve">VA </w:t>
      </w:r>
      <w:r w:rsidRPr="004F764A">
        <w:rPr>
          <w:rFonts w:ascii="Arial" w:hAnsi="Arial" w:cs="Arial"/>
          <w:color w:val="auto"/>
        </w:rPr>
        <w:t>IRB member should</w:t>
      </w:r>
      <w:r w:rsidR="002636C9">
        <w:rPr>
          <w:rFonts w:ascii="Arial" w:hAnsi="Arial" w:cs="Arial"/>
          <w:color w:val="auto"/>
        </w:rPr>
        <w:t>,</w:t>
      </w:r>
      <w:r w:rsidRPr="004F764A">
        <w:rPr>
          <w:rFonts w:ascii="Arial" w:hAnsi="Arial" w:cs="Arial"/>
          <w:color w:val="auto"/>
        </w:rPr>
        <w:t xml:space="preserve"> </w:t>
      </w:r>
      <w:r w:rsidR="00C11610" w:rsidRPr="00F36853">
        <w:rPr>
          <w:rFonts w:ascii="Arial" w:hAnsi="Arial" w:cs="Arial"/>
          <w:color w:val="auto"/>
        </w:rPr>
        <w:t>but is not required to</w:t>
      </w:r>
      <w:r w:rsidR="002636C9">
        <w:rPr>
          <w:rFonts w:ascii="Arial" w:hAnsi="Arial" w:cs="Arial"/>
          <w:color w:val="auto"/>
        </w:rPr>
        <w:t>,</w:t>
      </w:r>
      <w:r w:rsidR="00C11610">
        <w:rPr>
          <w:rFonts w:ascii="Arial" w:hAnsi="Arial" w:cs="Arial"/>
          <w:color w:val="auto"/>
        </w:rPr>
        <w:t xml:space="preserve"> </w:t>
      </w:r>
      <w:r w:rsidRPr="004F764A">
        <w:rPr>
          <w:rFonts w:ascii="Arial" w:hAnsi="Arial" w:cs="Arial"/>
          <w:color w:val="auto"/>
        </w:rPr>
        <w:t>obtain a WOC appointment. The WOC appointment provides the best protection from unexpected liability and the best likelihood for the Department of Justice</w:t>
      </w:r>
      <w:r w:rsidR="00AC45AF">
        <w:rPr>
          <w:rFonts w:ascii="Arial" w:hAnsi="Arial" w:cs="Arial"/>
          <w:color w:val="auto"/>
        </w:rPr>
        <w:t xml:space="preserve"> (DOJ)</w:t>
      </w:r>
      <w:r w:rsidRPr="004F764A">
        <w:rPr>
          <w:rFonts w:ascii="Arial" w:hAnsi="Arial" w:cs="Arial"/>
          <w:color w:val="auto"/>
        </w:rPr>
        <w:t xml:space="preserve"> to represent that individual as </w:t>
      </w:r>
      <w:r w:rsidR="00AC45AF">
        <w:rPr>
          <w:rFonts w:ascii="Arial" w:hAnsi="Arial" w:cs="Arial"/>
          <w:color w:val="auto"/>
        </w:rPr>
        <w:t xml:space="preserve">a </w:t>
      </w:r>
      <w:r w:rsidRPr="004F764A">
        <w:rPr>
          <w:rFonts w:ascii="Arial" w:hAnsi="Arial" w:cs="Arial"/>
          <w:color w:val="auto"/>
        </w:rPr>
        <w:t xml:space="preserve">VA "employee" and thus, </w:t>
      </w:r>
      <w:r w:rsidR="008B6F42">
        <w:rPr>
          <w:rFonts w:ascii="Arial" w:hAnsi="Arial" w:cs="Arial"/>
          <w:color w:val="auto"/>
        </w:rPr>
        <w:t xml:space="preserve">be </w:t>
      </w:r>
      <w:r w:rsidRPr="004F764A">
        <w:rPr>
          <w:rFonts w:ascii="Arial" w:hAnsi="Arial" w:cs="Arial"/>
          <w:color w:val="auto"/>
        </w:rPr>
        <w:t xml:space="preserve">immune from personal liability for negligence. </w:t>
      </w:r>
      <w:r w:rsidR="001D3971">
        <w:rPr>
          <w:rFonts w:ascii="Arial" w:hAnsi="Arial" w:cs="Arial"/>
          <w:color w:val="auto"/>
        </w:rPr>
        <w:t xml:space="preserve">The WOC appointment for purposes of liability coverage does not change the affiliation status of the IRB </w:t>
      </w:r>
      <w:r w:rsidR="00B1356F">
        <w:rPr>
          <w:rFonts w:ascii="Arial" w:hAnsi="Arial" w:cs="Arial"/>
          <w:color w:val="auto"/>
        </w:rPr>
        <w:t>me</w:t>
      </w:r>
      <w:r w:rsidR="001D3971">
        <w:rPr>
          <w:rFonts w:ascii="Arial" w:hAnsi="Arial" w:cs="Arial"/>
          <w:color w:val="auto"/>
        </w:rPr>
        <w:t>mber.</w:t>
      </w:r>
      <w:r w:rsidR="00F36853">
        <w:rPr>
          <w:rFonts w:ascii="Arial" w:hAnsi="Arial" w:cs="Arial"/>
          <w:color w:val="auto"/>
        </w:rPr>
        <w:t xml:space="preserve"> </w:t>
      </w:r>
      <w:r w:rsidR="00F36853">
        <w:rPr>
          <w:rFonts w:ascii="Arial" w:hAnsi="Arial" w:cs="Arial"/>
          <w:i/>
          <w:color w:val="auto"/>
        </w:rPr>
        <w:t>NOTE: If a nonaffiliated IRB member chooses not to obtain a WOC appointment for purposes of being on the IRB, he/she is still bound to all VA requirements on confidentiality and conflict of interest.</w:t>
      </w:r>
    </w:p>
    <w:p w:rsidR="00F36853" w:rsidRDefault="00F36853" w:rsidP="002636C9">
      <w:pPr>
        <w:pStyle w:val="PlainText"/>
        <w:rPr>
          <w:rFonts w:ascii="Arial" w:hAnsi="Arial" w:cs="Arial"/>
          <w:i/>
          <w:color w:val="auto"/>
        </w:rPr>
      </w:pPr>
    </w:p>
    <w:p w:rsidR="00F36853" w:rsidRDefault="00F36853" w:rsidP="002636C9">
      <w:pPr>
        <w:pStyle w:val="PlainText"/>
        <w:rPr>
          <w:rFonts w:ascii="Arial" w:hAnsi="Arial" w:cs="Arial"/>
          <w:i/>
          <w:color w:val="auto"/>
        </w:rPr>
      </w:pPr>
    </w:p>
    <w:p w:rsidR="00F36853" w:rsidRDefault="00F36853" w:rsidP="002636C9">
      <w:pPr>
        <w:pStyle w:val="PlainText"/>
        <w:rPr>
          <w:rFonts w:ascii="Arial" w:hAnsi="Arial" w:cs="Arial"/>
          <w:i/>
          <w:color w:val="auto"/>
        </w:rPr>
      </w:pPr>
    </w:p>
    <w:p w:rsidR="00F36853" w:rsidRDefault="00F36853" w:rsidP="002636C9">
      <w:pPr>
        <w:pStyle w:val="PlainText"/>
        <w:rPr>
          <w:rFonts w:ascii="Arial" w:hAnsi="Arial" w:cs="Arial"/>
          <w:i/>
          <w:color w:val="auto"/>
        </w:rPr>
      </w:pPr>
    </w:p>
    <w:p w:rsidR="00F36853" w:rsidRPr="00F36853" w:rsidRDefault="00F36853" w:rsidP="002636C9">
      <w:pPr>
        <w:pStyle w:val="PlainText"/>
        <w:rPr>
          <w:rFonts w:ascii="Arial" w:hAnsi="Arial" w:cs="Arial"/>
          <w:i/>
          <w:color w:val="auto"/>
        </w:rPr>
      </w:pPr>
    </w:p>
    <w:p w:rsidR="004F764A" w:rsidRDefault="004F764A" w:rsidP="004F764A">
      <w:pPr>
        <w:pStyle w:val="PlainText"/>
        <w:ind w:left="360"/>
        <w:rPr>
          <w:rFonts w:ascii="Arial" w:hAnsi="Arial" w:cs="Arial"/>
          <w:color w:val="aut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10"/>
        <w:gridCol w:w="4606"/>
      </w:tblGrid>
      <w:tr w:rsidR="004F764A" w:rsidTr="001D3971">
        <w:tc>
          <w:tcPr>
            <w:tcW w:w="4610" w:type="dxa"/>
          </w:tcPr>
          <w:p w:rsidR="004F764A" w:rsidRPr="004F764A" w:rsidRDefault="004F764A" w:rsidP="004F764A">
            <w:pPr>
              <w:pStyle w:val="PlainText"/>
              <w:rPr>
                <w:rFonts w:ascii="Arial" w:hAnsi="Arial" w:cs="Arial"/>
                <w:b/>
                <w:color w:val="auto"/>
              </w:rPr>
            </w:pPr>
            <w:r w:rsidRPr="004F764A">
              <w:rPr>
                <w:rFonts w:ascii="Arial" w:hAnsi="Arial" w:cs="Arial"/>
                <w:b/>
                <w:color w:val="auto"/>
              </w:rPr>
              <w:lastRenderedPageBreak/>
              <w:t>A VA WOC Appointed IRB Member</w:t>
            </w:r>
          </w:p>
        </w:tc>
        <w:tc>
          <w:tcPr>
            <w:tcW w:w="4606" w:type="dxa"/>
          </w:tcPr>
          <w:p w:rsidR="004F764A" w:rsidRPr="004F764A" w:rsidRDefault="004F764A" w:rsidP="004F764A">
            <w:pPr>
              <w:pStyle w:val="PlainTex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 VA Non-WOC Appointed IRB Member</w:t>
            </w:r>
          </w:p>
        </w:tc>
      </w:tr>
      <w:tr w:rsidR="004F764A" w:rsidTr="001D3971">
        <w:tc>
          <w:tcPr>
            <w:tcW w:w="4610" w:type="dxa"/>
          </w:tcPr>
          <w:p w:rsidR="004F764A" w:rsidRPr="004F764A" w:rsidRDefault="004F764A" w:rsidP="004F764A">
            <w:pPr>
              <w:pStyle w:val="PlainText"/>
              <w:rPr>
                <w:rFonts w:ascii="Arial" w:hAnsi="Arial" w:cs="Arial"/>
                <w:color w:val="auto"/>
              </w:rPr>
            </w:pPr>
            <w:r w:rsidRPr="004F764A">
              <w:rPr>
                <w:rFonts w:ascii="Arial" w:hAnsi="Arial" w:cs="Arial"/>
                <w:color w:val="auto"/>
              </w:rPr>
              <w:t>Best likelihood for DOJ representation </w:t>
            </w:r>
          </w:p>
        </w:tc>
        <w:tc>
          <w:tcPr>
            <w:tcW w:w="4606" w:type="dxa"/>
          </w:tcPr>
          <w:p w:rsidR="004F764A" w:rsidRPr="004F764A" w:rsidRDefault="004F764A" w:rsidP="004F764A">
            <w:pPr>
              <w:pStyle w:val="Plain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Least likelihood for DOJ representation</w:t>
            </w:r>
          </w:p>
        </w:tc>
      </w:tr>
      <w:tr w:rsidR="004F764A" w:rsidTr="001D3971">
        <w:tc>
          <w:tcPr>
            <w:tcW w:w="4610" w:type="dxa"/>
          </w:tcPr>
          <w:p w:rsidR="004F764A" w:rsidRPr="004F764A" w:rsidRDefault="004F764A" w:rsidP="004F764A">
            <w:pPr>
              <w:pStyle w:val="PlainText"/>
              <w:rPr>
                <w:rFonts w:ascii="Arial" w:hAnsi="Arial" w:cs="Arial"/>
                <w:color w:val="auto"/>
              </w:rPr>
            </w:pPr>
            <w:r w:rsidRPr="004F764A">
              <w:rPr>
                <w:rFonts w:ascii="Arial" w:hAnsi="Arial" w:cs="Arial"/>
                <w:color w:val="auto"/>
              </w:rPr>
              <w:t>Immunity from personal liability</w:t>
            </w:r>
          </w:p>
        </w:tc>
        <w:tc>
          <w:tcPr>
            <w:tcW w:w="4606" w:type="dxa"/>
          </w:tcPr>
          <w:p w:rsidR="004F764A" w:rsidRPr="004F764A" w:rsidRDefault="004F764A" w:rsidP="004F764A">
            <w:pPr>
              <w:pStyle w:val="Plain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Personally liable for negligence</w:t>
            </w:r>
            <w:r w:rsidR="001D3971">
              <w:rPr>
                <w:rFonts w:ascii="Arial" w:hAnsi="Arial" w:cs="Arial"/>
                <w:color w:val="auto"/>
              </w:rPr>
              <w:t xml:space="preserve"> so should consider a professional liability insurance policy</w:t>
            </w:r>
          </w:p>
        </w:tc>
      </w:tr>
      <w:tr w:rsidR="004F764A" w:rsidTr="001D3971">
        <w:tc>
          <w:tcPr>
            <w:tcW w:w="4610" w:type="dxa"/>
          </w:tcPr>
          <w:p w:rsidR="004F764A" w:rsidRPr="004F764A" w:rsidRDefault="004F764A" w:rsidP="00AC45AF">
            <w:pPr>
              <w:pStyle w:val="PlainText"/>
              <w:rPr>
                <w:rFonts w:ascii="Arial" w:hAnsi="Arial" w:cs="Arial"/>
                <w:color w:val="auto"/>
              </w:rPr>
            </w:pPr>
            <w:r w:rsidRPr="004F764A">
              <w:rPr>
                <w:rFonts w:ascii="Arial" w:hAnsi="Arial" w:cs="Arial"/>
                <w:color w:val="auto"/>
              </w:rPr>
              <w:t xml:space="preserve">If </w:t>
            </w:r>
            <w:r>
              <w:rPr>
                <w:rFonts w:ascii="Arial" w:hAnsi="Arial" w:cs="Arial"/>
                <w:color w:val="auto"/>
              </w:rPr>
              <w:t>injured on VA premises, relief is sought first through Federal Employees’ Compensation Act, then potentially through</w:t>
            </w:r>
            <w:r w:rsidR="00C11610">
              <w:rPr>
                <w:rFonts w:ascii="Arial" w:hAnsi="Arial" w:cs="Arial"/>
                <w:color w:val="auto"/>
              </w:rPr>
              <w:t xml:space="preserve"> Federal Torts Claim Act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="00C11610">
              <w:rPr>
                <w:rFonts w:ascii="Arial" w:hAnsi="Arial" w:cs="Arial"/>
                <w:color w:val="auto"/>
              </w:rPr>
              <w:t>(</w:t>
            </w:r>
            <w:r>
              <w:rPr>
                <w:rFonts w:ascii="Arial" w:hAnsi="Arial" w:cs="Arial"/>
                <w:color w:val="auto"/>
              </w:rPr>
              <w:t>FTCA</w:t>
            </w:r>
            <w:r w:rsidR="00C11610">
              <w:rPr>
                <w:rFonts w:ascii="Arial" w:hAnsi="Arial" w:cs="Arial"/>
                <w:color w:val="auto"/>
              </w:rPr>
              <w:t>)</w:t>
            </w:r>
          </w:p>
        </w:tc>
        <w:tc>
          <w:tcPr>
            <w:tcW w:w="4606" w:type="dxa"/>
          </w:tcPr>
          <w:p w:rsidR="004F764A" w:rsidRPr="004F764A" w:rsidRDefault="001D3971" w:rsidP="00C11610">
            <w:pPr>
              <w:pStyle w:val="Plain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If injured on premises, relief is sought through FTCA</w:t>
            </w:r>
          </w:p>
        </w:tc>
      </w:tr>
    </w:tbl>
    <w:p w:rsidR="004F764A" w:rsidRPr="004F764A" w:rsidRDefault="004F764A" w:rsidP="004F764A">
      <w:pPr>
        <w:pStyle w:val="PlainText"/>
        <w:ind w:left="360"/>
        <w:rPr>
          <w:rFonts w:ascii="Arial" w:hAnsi="Arial" w:cs="Arial"/>
          <w:color w:val="auto"/>
          <w:u w:val="single"/>
        </w:rPr>
      </w:pPr>
    </w:p>
    <w:p w:rsidR="004134AF" w:rsidRDefault="004134AF" w:rsidP="00AA7D9E">
      <w:pPr>
        <w:keepNext/>
        <w:tabs>
          <w:tab w:val="left" w:pos="360"/>
        </w:tabs>
        <w:spacing w:line="240" w:lineRule="auto"/>
        <w:rPr>
          <w:rFonts w:ascii="Arial" w:hAnsi="Arial" w:cs="Arial"/>
          <w:b/>
        </w:rPr>
      </w:pPr>
    </w:p>
    <w:p w:rsidR="00A02092" w:rsidRPr="00574E53" w:rsidRDefault="00675C5E" w:rsidP="00AA7D9E">
      <w:pPr>
        <w:keepNext/>
        <w:tabs>
          <w:tab w:val="left" w:pos="360"/>
        </w:tabs>
        <w:spacing w:line="240" w:lineRule="auto"/>
        <w:rPr>
          <w:rFonts w:ascii="Arial" w:hAnsi="Arial" w:cs="Arial"/>
          <w:b/>
        </w:rPr>
      </w:pPr>
      <w:r w:rsidRPr="00574E53">
        <w:rPr>
          <w:rFonts w:ascii="Arial" w:hAnsi="Arial" w:cs="Arial"/>
          <w:b/>
        </w:rPr>
        <w:t>REGULATORY AND VHA POLICY REFERENCES:</w:t>
      </w:r>
    </w:p>
    <w:p w:rsidR="00366949" w:rsidRPr="00574E53" w:rsidRDefault="00366949" w:rsidP="002F65A8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contextualSpacing w:val="0"/>
        <w:rPr>
          <w:rFonts w:ascii="Arial" w:hAnsi="Arial" w:cs="Arial"/>
        </w:rPr>
      </w:pPr>
      <w:r w:rsidRPr="00574E53">
        <w:rPr>
          <w:rFonts w:ascii="Arial" w:hAnsi="Arial" w:cs="Arial"/>
        </w:rPr>
        <w:t>VHA Handbook 1200.01</w:t>
      </w:r>
      <w:r w:rsidR="00574E53" w:rsidRPr="00574E53">
        <w:rPr>
          <w:rFonts w:ascii="Arial" w:hAnsi="Arial" w:cs="Arial"/>
        </w:rPr>
        <w:t xml:space="preserve">, </w:t>
      </w:r>
      <w:r w:rsidR="00574E53">
        <w:rPr>
          <w:rFonts w:ascii="Arial" w:hAnsi="Arial" w:cs="Arial"/>
        </w:rPr>
        <w:t>Research and Development Committee.</w:t>
      </w:r>
    </w:p>
    <w:p w:rsidR="00142F30" w:rsidRDefault="00142F30" w:rsidP="002F65A8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contextualSpacing w:val="0"/>
        <w:rPr>
          <w:rFonts w:ascii="Arial" w:hAnsi="Arial" w:cs="Arial"/>
        </w:rPr>
      </w:pPr>
      <w:r w:rsidRPr="00574E53">
        <w:rPr>
          <w:rFonts w:ascii="Arial" w:hAnsi="Arial" w:cs="Arial"/>
        </w:rPr>
        <w:t>VHA Handbook 1200.05</w:t>
      </w:r>
      <w:r w:rsidR="002403ED" w:rsidRPr="00574E53">
        <w:rPr>
          <w:rFonts w:ascii="Arial" w:hAnsi="Arial" w:cs="Arial"/>
        </w:rPr>
        <w:t>,</w:t>
      </w:r>
      <w:r w:rsidRPr="00574E53">
        <w:rPr>
          <w:rFonts w:ascii="Arial" w:hAnsi="Arial" w:cs="Arial"/>
        </w:rPr>
        <w:t xml:space="preserve"> Requirements for the Protection of Human Subjects in Research</w:t>
      </w:r>
      <w:r w:rsidR="00574E53">
        <w:rPr>
          <w:rFonts w:ascii="Arial" w:hAnsi="Arial" w:cs="Arial"/>
        </w:rPr>
        <w:t>.</w:t>
      </w:r>
    </w:p>
    <w:p w:rsidR="00DF6986" w:rsidRPr="00574E53" w:rsidRDefault="00DF6986" w:rsidP="002F65A8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VA Handbook 5005,</w:t>
      </w:r>
      <w:r w:rsidR="00DC2A97">
        <w:rPr>
          <w:rFonts w:ascii="Arial" w:hAnsi="Arial" w:cs="Arial"/>
        </w:rPr>
        <w:t xml:space="preserve"> </w:t>
      </w:r>
      <w:r w:rsidR="00DC2A97" w:rsidRPr="00F36853">
        <w:rPr>
          <w:rFonts w:ascii="Arial" w:hAnsi="Arial" w:cs="Arial"/>
        </w:rPr>
        <w:t>Part II, Chapter 3,</w:t>
      </w:r>
      <w:r w:rsidRPr="00596BD5">
        <w:rPr>
          <w:rFonts w:ascii="Arial" w:hAnsi="Arial" w:cs="Arial"/>
        </w:rPr>
        <w:t xml:space="preserve"> </w:t>
      </w:r>
      <w:r w:rsidR="00DC2A97" w:rsidRPr="00FB2A15">
        <w:rPr>
          <w:rFonts w:ascii="Arial" w:hAnsi="Arial" w:cs="Arial"/>
        </w:rPr>
        <w:t xml:space="preserve">Section G, paragraph 7, </w:t>
      </w:r>
      <w:r>
        <w:rPr>
          <w:rFonts w:ascii="Arial" w:hAnsi="Arial" w:cs="Arial"/>
        </w:rPr>
        <w:t>Staffing.</w:t>
      </w:r>
    </w:p>
    <w:sectPr w:rsidR="00DF6986" w:rsidRPr="00574E53" w:rsidSect="00887F36">
      <w:headerReference w:type="even" r:id="rId9"/>
      <w:footerReference w:type="even" r:id="rId10"/>
      <w:footerReference w:type="default" r:id="rId11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97" w:rsidRDefault="00A57F97" w:rsidP="00675C5E">
      <w:pPr>
        <w:spacing w:after="0" w:line="240" w:lineRule="auto"/>
      </w:pPr>
      <w:r>
        <w:separator/>
      </w:r>
    </w:p>
    <w:p w:rsidR="00A57F97" w:rsidRDefault="00A57F97"/>
  </w:endnote>
  <w:endnote w:type="continuationSeparator" w:id="0">
    <w:p w:rsidR="00A57F97" w:rsidRDefault="00A57F97" w:rsidP="00675C5E">
      <w:pPr>
        <w:spacing w:after="0" w:line="240" w:lineRule="auto"/>
      </w:pPr>
      <w:r>
        <w:continuationSeparator/>
      </w:r>
    </w:p>
    <w:p w:rsidR="00A57F97" w:rsidRDefault="00A57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18" w:rsidRDefault="00961E18">
    <w:pPr>
      <w:pStyle w:val="Footer"/>
    </w:pPr>
  </w:p>
  <w:p w:rsidR="00D317A5" w:rsidRDefault="00D317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B3" w:rsidRDefault="004B1AB3">
    <w:pPr>
      <w:pStyle w:val="Footer"/>
      <w:rPr>
        <w:rFonts w:ascii="Arial" w:hAnsi="Arial" w:cs="Arial"/>
        <w:sz w:val="18"/>
        <w:szCs w:val="18"/>
      </w:rPr>
    </w:pPr>
    <w:r w:rsidRPr="00675C5E">
      <w:rPr>
        <w:rFonts w:ascii="Arial" w:hAnsi="Arial" w:cs="Arial"/>
        <w:sz w:val="18"/>
        <w:szCs w:val="18"/>
      </w:rPr>
      <w:t xml:space="preserve">ORD Guidance on </w:t>
    </w:r>
    <w:r w:rsidR="00B10279">
      <w:rPr>
        <w:rFonts w:ascii="Arial" w:hAnsi="Arial" w:cs="Arial"/>
        <w:sz w:val="18"/>
        <w:szCs w:val="18"/>
      </w:rPr>
      <w:t>Non-affiliated IRB Members</w:t>
    </w:r>
  </w:p>
  <w:p w:rsidR="004B1AB3" w:rsidRDefault="003641BC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April 16</w:t>
    </w:r>
    <w:r w:rsidR="007C733D">
      <w:rPr>
        <w:rFonts w:ascii="Arial" w:hAnsi="Arial" w:cs="Arial"/>
        <w:sz w:val="18"/>
        <w:szCs w:val="18"/>
      </w:rPr>
      <w:t>, 2015</w:t>
    </w:r>
  </w:p>
  <w:p w:rsidR="00F900B0" w:rsidRDefault="00F900B0" w:rsidP="00F900B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887F36">
      <w:rPr>
        <w:rFonts w:ascii="Arial" w:hAnsi="Arial" w:cs="Arial"/>
        <w:sz w:val="18"/>
        <w:szCs w:val="18"/>
      </w:rPr>
      <w:fldChar w:fldCharType="begin"/>
    </w:r>
    <w:r w:rsidRPr="00887F36">
      <w:rPr>
        <w:rFonts w:ascii="Arial" w:hAnsi="Arial" w:cs="Arial"/>
        <w:sz w:val="18"/>
        <w:szCs w:val="18"/>
      </w:rPr>
      <w:instrText xml:space="preserve"> PAGE   \* MERGEFORMAT </w:instrText>
    </w:r>
    <w:r w:rsidRPr="00887F36">
      <w:rPr>
        <w:rFonts w:ascii="Arial" w:hAnsi="Arial" w:cs="Arial"/>
        <w:sz w:val="18"/>
        <w:szCs w:val="18"/>
      </w:rPr>
      <w:fldChar w:fldCharType="separate"/>
    </w:r>
    <w:r w:rsidR="009C1ACF">
      <w:rPr>
        <w:rFonts w:ascii="Arial" w:hAnsi="Arial" w:cs="Arial"/>
        <w:noProof/>
        <w:sz w:val="18"/>
        <w:szCs w:val="18"/>
      </w:rPr>
      <w:t>1</w:t>
    </w:r>
    <w:r w:rsidRPr="00887F36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97" w:rsidRDefault="00A57F97" w:rsidP="00675C5E">
      <w:pPr>
        <w:spacing w:after="0" w:line="240" w:lineRule="auto"/>
      </w:pPr>
      <w:r>
        <w:separator/>
      </w:r>
    </w:p>
    <w:p w:rsidR="00A57F97" w:rsidRDefault="00A57F97"/>
  </w:footnote>
  <w:footnote w:type="continuationSeparator" w:id="0">
    <w:p w:rsidR="00A57F97" w:rsidRDefault="00A57F97" w:rsidP="00675C5E">
      <w:pPr>
        <w:spacing w:after="0" w:line="240" w:lineRule="auto"/>
      </w:pPr>
      <w:r>
        <w:continuationSeparator/>
      </w:r>
    </w:p>
    <w:p w:rsidR="00A57F97" w:rsidRDefault="00A57F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18" w:rsidRDefault="00961E18">
    <w:pPr>
      <w:pStyle w:val="Header"/>
    </w:pPr>
  </w:p>
  <w:p w:rsidR="00D317A5" w:rsidRDefault="00D317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779"/>
    <w:multiLevelType w:val="hybridMultilevel"/>
    <w:tmpl w:val="476201EE"/>
    <w:lvl w:ilvl="0" w:tplc="C9485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7C7A"/>
    <w:multiLevelType w:val="hybridMultilevel"/>
    <w:tmpl w:val="4C7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16D7"/>
    <w:multiLevelType w:val="hybridMultilevel"/>
    <w:tmpl w:val="00484CBC"/>
    <w:lvl w:ilvl="0" w:tplc="B4CC90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8B2533"/>
    <w:multiLevelType w:val="hybridMultilevel"/>
    <w:tmpl w:val="1C1CB2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20165320">
      <w:start w:val="6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175C"/>
    <w:multiLevelType w:val="hybridMultilevel"/>
    <w:tmpl w:val="529ED346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B608CACA">
      <w:start w:val="1"/>
      <w:numFmt w:val="lowerLetter"/>
      <w:lvlText w:val="%2."/>
      <w:lvlJc w:val="left"/>
      <w:pPr>
        <w:ind w:left="0" w:firstLine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D2D3F"/>
    <w:multiLevelType w:val="hybridMultilevel"/>
    <w:tmpl w:val="9BAC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5C"/>
    <w:rsid w:val="000078A2"/>
    <w:rsid w:val="000102F1"/>
    <w:rsid w:val="00013793"/>
    <w:rsid w:val="00016A93"/>
    <w:rsid w:val="00017FC3"/>
    <w:rsid w:val="000259FE"/>
    <w:rsid w:val="00027B58"/>
    <w:rsid w:val="00033225"/>
    <w:rsid w:val="00035754"/>
    <w:rsid w:val="00037D17"/>
    <w:rsid w:val="00041EDA"/>
    <w:rsid w:val="0004578C"/>
    <w:rsid w:val="00046A01"/>
    <w:rsid w:val="00052B78"/>
    <w:rsid w:val="00052D05"/>
    <w:rsid w:val="00061547"/>
    <w:rsid w:val="00066336"/>
    <w:rsid w:val="00072E37"/>
    <w:rsid w:val="00073092"/>
    <w:rsid w:val="0007679E"/>
    <w:rsid w:val="00081C23"/>
    <w:rsid w:val="0008505A"/>
    <w:rsid w:val="00086260"/>
    <w:rsid w:val="000916E4"/>
    <w:rsid w:val="000941F2"/>
    <w:rsid w:val="000A2886"/>
    <w:rsid w:val="000A465A"/>
    <w:rsid w:val="000A68F4"/>
    <w:rsid w:val="000B4D6D"/>
    <w:rsid w:val="000C1260"/>
    <w:rsid w:val="000C511B"/>
    <w:rsid w:val="000C7BB6"/>
    <w:rsid w:val="000D3C3D"/>
    <w:rsid w:val="000D3FB5"/>
    <w:rsid w:val="000E02F6"/>
    <w:rsid w:val="000E15E2"/>
    <w:rsid w:val="000E410F"/>
    <w:rsid w:val="000F65F4"/>
    <w:rsid w:val="000F6AA3"/>
    <w:rsid w:val="00102D4A"/>
    <w:rsid w:val="001067F0"/>
    <w:rsid w:val="00110767"/>
    <w:rsid w:val="00113C92"/>
    <w:rsid w:val="00114A03"/>
    <w:rsid w:val="00114B42"/>
    <w:rsid w:val="00131258"/>
    <w:rsid w:val="00131807"/>
    <w:rsid w:val="00133FEA"/>
    <w:rsid w:val="00140043"/>
    <w:rsid w:val="001407B3"/>
    <w:rsid w:val="001416B3"/>
    <w:rsid w:val="00142F30"/>
    <w:rsid w:val="001466FC"/>
    <w:rsid w:val="00152052"/>
    <w:rsid w:val="00152C4F"/>
    <w:rsid w:val="00154BC5"/>
    <w:rsid w:val="00164A60"/>
    <w:rsid w:val="00165382"/>
    <w:rsid w:val="00173674"/>
    <w:rsid w:val="00182DF5"/>
    <w:rsid w:val="001840C4"/>
    <w:rsid w:val="00184A23"/>
    <w:rsid w:val="00191D4C"/>
    <w:rsid w:val="001A1345"/>
    <w:rsid w:val="001A26EF"/>
    <w:rsid w:val="001B325E"/>
    <w:rsid w:val="001C4682"/>
    <w:rsid w:val="001C64FB"/>
    <w:rsid w:val="001D07EB"/>
    <w:rsid w:val="001D3501"/>
    <w:rsid w:val="001D3971"/>
    <w:rsid w:val="001D605A"/>
    <w:rsid w:val="001E67E3"/>
    <w:rsid w:val="001F0EFB"/>
    <w:rsid w:val="001F3F61"/>
    <w:rsid w:val="00220991"/>
    <w:rsid w:val="00224802"/>
    <w:rsid w:val="00226958"/>
    <w:rsid w:val="002275B4"/>
    <w:rsid w:val="00231D10"/>
    <w:rsid w:val="00235D7B"/>
    <w:rsid w:val="002403ED"/>
    <w:rsid w:val="002409EC"/>
    <w:rsid w:val="00246821"/>
    <w:rsid w:val="00251A1F"/>
    <w:rsid w:val="00253FF3"/>
    <w:rsid w:val="002636C9"/>
    <w:rsid w:val="00263C37"/>
    <w:rsid w:val="00264F3F"/>
    <w:rsid w:val="002679BF"/>
    <w:rsid w:val="00271135"/>
    <w:rsid w:val="00272A0B"/>
    <w:rsid w:val="00282CA2"/>
    <w:rsid w:val="0028608F"/>
    <w:rsid w:val="00292EB7"/>
    <w:rsid w:val="002A3F1C"/>
    <w:rsid w:val="002A4407"/>
    <w:rsid w:val="002A549A"/>
    <w:rsid w:val="002A6CEA"/>
    <w:rsid w:val="002B1A62"/>
    <w:rsid w:val="002B3F73"/>
    <w:rsid w:val="002B47F8"/>
    <w:rsid w:val="002C6C85"/>
    <w:rsid w:val="002C72EC"/>
    <w:rsid w:val="002D12B1"/>
    <w:rsid w:val="002D471C"/>
    <w:rsid w:val="002E10E1"/>
    <w:rsid w:val="002E7845"/>
    <w:rsid w:val="002F647B"/>
    <w:rsid w:val="002F65A8"/>
    <w:rsid w:val="00305301"/>
    <w:rsid w:val="00311328"/>
    <w:rsid w:val="0031199C"/>
    <w:rsid w:val="003205B0"/>
    <w:rsid w:val="00327B9E"/>
    <w:rsid w:val="003318B5"/>
    <w:rsid w:val="0033282F"/>
    <w:rsid w:val="003352B0"/>
    <w:rsid w:val="00337084"/>
    <w:rsid w:val="003404A8"/>
    <w:rsid w:val="003418EB"/>
    <w:rsid w:val="00342525"/>
    <w:rsid w:val="00344BBE"/>
    <w:rsid w:val="00351974"/>
    <w:rsid w:val="0035209E"/>
    <w:rsid w:val="003567CD"/>
    <w:rsid w:val="00357E99"/>
    <w:rsid w:val="00362E6D"/>
    <w:rsid w:val="003641BC"/>
    <w:rsid w:val="003645CE"/>
    <w:rsid w:val="00365AE6"/>
    <w:rsid w:val="00366949"/>
    <w:rsid w:val="00383C46"/>
    <w:rsid w:val="003849BD"/>
    <w:rsid w:val="00386AD7"/>
    <w:rsid w:val="003902FE"/>
    <w:rsid w:val="003A0036"/>
    <w:rsid w:val="003A3B1C"/>
    <w:rsid w:val="003B6B99"/>
    <w:rsid w:val="003C23DA"/>
    <w:rsid w:val="003C4EE2"/>
    <w:rsid w:val="003C7C69"/>
    <w:rsid w:val="003E3A73"/>
    <w:rsid w:val="003E3FBD"/>
    <w:rsid w:val="003E6C27"/>
    <w:rsid w:val="003E754B"/>
    <w:rsid w:val="003F04F1"/>
    <w:rsid w:val="003F6763"/>
    <w:rsid w:val="00400430"/>
    <w:rsid w:val="00404D06"/>
    <w:rsid w:val="00412F20"/>
    <w:rsid w:val="004134AF"/>
    <w:rsid w:val="004162B5"/>
    <w:rsid w:val="004170CB"/>
    <w:rsid w:val="00420121"/>
    <w:rsid w:val="00421011"/>
    <w:rsid w:val="00427677"/>
    <w:rsid w:val="00441AF4"/>
    <w:rsid w:val="0045052D"/>
    <w:rsid w:val="00450B8B"/>
    <w:rsid w:val="004524CD"/>
    <w:rsid w:val="00453972"/>
    <w:rsid w:val="0045536A"/>
    <w:rsid w:val="00455CCA"/>
    <w:rsid w:val="0046747E"/>
    <w:rsid w:val="00476430"/>
    <w:rsid w:val="00480B46"/>
    <w:rsid w:val="00481821"/>
    <w:rsid w:val="00481F93"/>
    <w:rsid w:val="004839A4"/>
    <w:rsid w:val="00483BD0"/>
    <w:rsid w:val="00490F65"/>
    <w:rsid w:val="00492A85"/>
    <w:rsid w:val="004937B8"/>
    <w:rsid w:val="004A02F0"/>
    <w:rsid w:val="004A14F1"/>
    <w:rsid w:val="004A7603"/>
    <w:rsid w:val="004B1AB3"/>
    <w:rsid w:val="004C49E8"/>
    <w:rsid w:val="004D6E70"/>
    <w:rsid w:val="004E462E"/>
    <w:rsid w:val="004F05B1"/>
    <w:rsid w:val="004F165D"/>
    <w:rsid w:val="004F764A"/>
    <w:rsid w:val="005023A3"/>
    <w:rsid w:val="005069C0"/>
    <w:rsid w:val="00513BDA"/>
    <w:rsid w:val="00513EC6"/>
    <w:rsid w:val="005167FA"/>
    <w:rsid w:val="00517FAE"/>
    <w:rsid w:val="005240D8"/>
    <w:rsid w:val="00527421"/>
    <w:rsid w:val="005315A1"/>
    <w:rsid w:val="0053432B"/>
    <w:rsid w:val="0053751D"/>
    <w:rsid w:val="00541FA2"/>
    <w:rsid w:val="00544FAD"/>
    <w:rsid w:val="00547FC3"/>
    <w:rsid w:val="005521C4"/>
    <w:rsid w:val="0055501D"/>
    <w:rsid w:val="0055578D"/>
    <w:rsid w:val="00563514"/>
    <w:rsid w:val="00570D17"/>
    <w:rsid w:val="00571C5C"/>
    <w:rsid w:val="005723BE"/>
    <w:rsid w:val="00574AA2"/>
    <w:rsid w:val="00574E53"/>
    <w:rsid w:val="00575021"/>
    <w:rsid w:val="005762C1"/>
    <w:rsid w:val="005819D9"/>
    <w:rsid w:val="00592037"/>
    <w:rsid w:val="00596BD5"/>
    <w:rsid w:val="005B45C6"/>
    <w:rsid w:val="005C37C8"/>
    <w:rsid w:val="005D460D"/>
    <w:rsid w:val="005E103C"/>
    <w:rsid w:val="005E107D"/>
    <w:rsid w:val="005E352B"/>
    <w:rsid w:val="005F2693"/>
    <w:rsid w:val="006016F7"/>
    <w:rsid w:val="00601FC4"/>
    <w:rsid w:val="00603E2C"/>
    <w:rsid w:val="00610284"/>
    <w:rsid w:val="00615FA4"/>
    <w:rsid w:val="00616932"/>
    <w:rsid w:val="0063500E"/>
    <w:rsid w:val="006449B5"/>
    <w:rsid w:val="00645486"/>
    <w:rsid w:val="00661140"/>
    <w:rsid w:val="0066372D"/>
    <w:rsid w:val="00665637"/>
    <w:rsid w:val="006657DA"/>
    <w:rsid w:val="00666174"/>
    <w:rsid w:val="00667EC7"/>
    <w:rsid w:val="00672A91"/>
    <w:rsid w:val="00675C5E"/>
    <w:rsid w:val="00676884"/>
    <w:rsid w:val="006774AF"/>
    <w:rsid w:val="00680881"/>
    <w:rsid w:val="00685549"/>
    <w:rsid w:val="00695801"/>
    <w:rsid w:val="006A08CF"/>
    <w:rsid w:val="006A2A1E"/>
    <w:rsid w:val="006A4BFF"/>
    <w:rsid w:val="006A7100"/>
    <w:rsid w:val="006B1CB2"/>
    <w:rsid w:val="006C0527"/>
    <w:rsid w:val="006C17C1"/>
    <w:rsid w:val="006C2CBE"/>
    <w:rsid w:val="006C6CBD"/>
    <w:rsid w:val="006C725C"/>
    <w:rsid w:val="006D0C2C"/>
    <w:rsid w:val="006D252C"/>
    <w:rsid w:val="006D2668"/>
    <w:rsid w:val="006D6633"/>
    <w:rsid w:val="006E1094"/>
    <w:rsid w:val="006E26E7"/>
    <w:rsid w:val="006E41F2"/>
    <w:rsid w:val="006E6F44"/>
    <w:rsid w:val="006E7131"/>
    <w:rsid w:val="00701928"/>
    <w:rsid w:val="007038B4"/>
    <w:rsid w:val="00703B49"/>
    <w:rsid w:val="00705C84"/>
    <w:rsid w:val="007060AD"/>
    <w:rsid w:val="007063CE"/>
    <w:rsid w:val="00714C46"/>
    <w:rsid w:val="00722F22"/>
    <w:rsid w:val="007344CF"/>
    <w:rsid w:val="007415AB"/>
    <w:rsid w:val="00747C81"/>
    <w:rsid w:val="00753439"/>
    <w:rsid w:val="00756F74"/>
    <w:rsid w:val="00757EBC"/>
    <w:rsid w:val="00761884"/>
    <w:rsid w:val="007629F2"/>
    <w:rsid w:val="00773E3C"/>
    <w:rsid w:val="00784CAF"/>
    <w:rsid w:val="00786AC0"/>
    <w:rsid w:val="007951CF"/>
    <w:rsid w:val="00797150"/>
    <w:rsid w:val="007A0182"/>
    <w:rsid w:val="007A0A39"/>
    <w:rsid w:val="007A2FBE"/>
    <w:rsid w:val="007A7C4C"/>
    <w:rsid w:val="007B60F1"/>
    <w:rsid w:val="007C13E5"/>
    <w:rsid w:val="007C2CCA"/>
    <w:rsid w:val="007C733D"/>
    <w:rsid w:val="007C7449"/>
    <w:rsid w:val="007D0F38"/>
    <w:rsid w:val="007E0254"/>
    <w:rsid w:val="007E02AC"/>
    <w:rsid w:val="007E0485"/>
    <w:rsid w:val="007E0A23"/>
    <w:rsid w:val="007E3D7C"/>
    <w:rsid w:val="00807043"/>
    <w:rsid w:val="00812C7E"/>
    <w:rsid w:val="00814A4B"/>
    <w:rsid w:val="00831444"/>
    <w:rsid w:val="00831FDA"/>
    <w:rsid w:val="00853406"/>
    <w:rsid w:val="00853EF3"/>
    <w:rsid w:val="00860FDD"/>
    <w:rsid w:val="0087485E"/>
    <w:rsid w:val="00886D72"/>
    <w:rsid w:val="00887F36"/>
    <w:rsid w:val="00890621"/>
    <w:rsid w:val="00895675"/>
    <w:rsid w:val="00896FF3"/>
    <w:rsid w:val="008A0E85"/>
    <w:rsid w:val="008B167A"/>
    <w:rsid w:val="008B2DA5"/>
    <w:rsid w:val="008B6009"/>
    <w:rsid w:val="008B6F42"/>
    <w:rsid w:val="008B7E2F"/>
    <w:rsid w:val="008C35BA"/>
    <w:rsid w:val="008D13EE"/>
    <w:rsid w:val="008E0B74"/>
    <w:rsid w:val="008E43FB"/>
    <w:rsid w:val="008F326D"/>
    <w:rsid w:val="00902D6E"/>
    <w:rsid w:val="00906733"/>
    <w:rsid w:val="00911C1B"/>
    <w:rsid w:val="00921178"/>
    <w:rsid w:val="00923005"/>
    <w:rsid w:val="00925A2F"/>
    <w:rsid w:val="0093764E"/>
    <w:rsid w:val="00941A8A"/>
    <w:rsid w:val="009434E4"/>
    <w:rsid w:val="00946BCE"/>
    <w:rsid w:val="00950A3B"/>
    <w:rsid w:val="00953E9E"/>
    <w:rsid w:val="00956BFA"/>
    <w:rsid w:val="0095709C"/>
    <w:rsid w:val="00961E18"/>
    <w:rsid w:val="009624FC"/>
    <w:rsid w:val="00970700"/>
    <w:rsid w:val="0097203F"/>
    <w:rsid w:val="0099435C"/>
    <w:rsid w:val="0099520A"/>
    <w:rsid w:val="00997338"/>
    <w:rsid w:val="009A1094"/>
    <w:rsid w:val="009A4D7E"/>
    <w:rsid w:val="009B34D9"/>
    <w:rsid w:val="009B4A42"/>
    <w:rsid w:val="009B5948"/>
    <w:rsid w:val="009B731F"/>
    <w:rsid w:val="009C1653"/>
    <w:rsid w:val="009C1ACF"/>
    <w:rsid w:val="009C274A"/>
    <w:rsid w:val="009C636A"/>
    <w:rsid w:val="009E0287"/>
    <w:rsid w:val="009E260B"/>
    <w:rsid w:val="009E711C"/>
    <w:rsid w:val="009F6076"/>
    <w:rsid w:val="00A02092"/>
    <w:rsid w:val="00A026AB"/>
    <w:rsid w:val="00A04245"/>
    <w:rsid w:val="00A065D0"/>
    <w:rsid w:val="00A17561"/>
    <w:rsid w:val="00A2234F"/>
    <w:rsid w:val="00A24F6A"/>
    <w:rsid w:val="00A27FFA"/>
    <w:rsid w:val="00A30809"/>
    <w:rsid w:val="00A30A0D"/>
    <w:rsid w:val="00A30FD5"/>
    <w:rsid w:val="00A36BA0"/>
    <w:rsid w:val="00A3713A"/>
    <w:rsid w:val="00A373E6"/>
    <w:rsid w:val="00A46582"/>
    <w:rsid w:val="00A4704F"/>
    <w:rsid w:val="00A51C51"/>
    <w:rsid w:val="00A57F97"/>
    <w:rsid w:val="00A633C2"/>
    <w:rsid w:val="00A662FB"/>
    <w:rsid w:val="00A70285"/>
    <w:rsid w:val="00A71833"/>
    <w:rsid w:val="00A71F87"/>
    <w:rsid w:val="00A73E8C"/>
    <w:rsid w:val="00A74E29"/>
    <w:rsid w:val="00A80849"/>
    <w:rsid w:val="00A85FBF"/>
    <w:rsid w:val="00A90B59"/>
    <w:rsid w:val="00A9380E"/>
    <w:rsid w:val="00AA2C9C"/>
    <w:rsid w:val="00AA325A"/>
    <w:rsid w:val="00AA7D9E"/>
    <w:rsid w:val="00AB2B81"/>
    <w:rsid w:val="00AB496C"/>
    <w:rsid w:val="00AB49AD"/>
    <w:rsid w:val="00AB5986"/>
    <w:rsid w:val="00AC0FFE"/>
    <w:rsid w:val="00AC45AF"/>
    <w:rsid w:val="00AC584F"/>
    <w:rsid w:val="00AC6484"/>
    <w:rsid w:val="00AD0D7B"/>
    <w:rsid w:val="00AD4521"/>
    <w:rsid w:val="00AE2DA4"/>
    <w:rsid w:val="00AE43A3"/>
    <w:rsid w:val="00AE691B"/>
    <w:rsid w:val="00AF3D05"/>
    <w:rsid w:val="00AF3F47"/>
    <w:rsid w:val="00AF7B1D"/>
    <w:rsid w:val="00B10279"/>
    <w:rsid w:val="00B1356F"/>
    <w:rsid w:val="00B21620"/>
    <w:rsid w:val="00B21780"/>
    <w:rsid w:val="00B261AB"/>
    <w:rsid w:val="00B350B4"/>
    <w:rsid w:val="00B45C1F"/>
    <w:rsid w:val="00B46554"/>
    <w:rsid w:val="00B46B3B"/>
    <w:rsid w:val="00B47F58"/>
    <w:rsid w:val="00B56317"/>
    <w:rsid w:val="00B609E4"/>
    <w:rsid w:val="00B65D2F"/>
    <w:rsid w:val="00B66D8F"/>
    <w:rsid w:val="00B66F82"/>
    <w:rsid w:val="00B73073"/>
    <w:rsid w:val="00B77AA1"/>
    <w:rsid w:val="00B8311C"/>
    <w:rsid w:val="00B857B2"/>
    <w:rsid w:val="00B914F7"/>
    <w:rsid w:val="00B94BFE"/>
    <w:rsid w:val="00B96CCC"/>
    <w:rsid w:val="00BA01D3"/>
    <w:rsid w:val="00BA11F5"/>
    <w:rsid w:val="00BA12E9"/>
    <w:rsid w:val="00BB554A"/>
    <w:rsid w:val="00BB58FC"/>
    <w:rsid w:val="00BC3899"/>
    <w:rsid w:val="00BD0D5B"/>
    <w:rsid w:val="00BD4F8F"/>
    <w:rsid w:val="00BD573C"/>
    <w:rsid w:val="00BD7590"/>
    <w:rsid w:val="00BE2066"/>
    <w:rsid w:val="00BE5CAC"/>
    <w:rsid w:val="00BE5DC3"/>
    <w:rsid w:val="00BE6D2A"/>
    <w:rsid w:val="00BF096A"/>
    <w:rsid w:val="00BF0F91"/>
    <w:rsid w:val="00BF30AF"/>
    <w:rsid w:val="00BF4EB0"/>
    <w:rsid w:val="00BF57ED"/>
    <w:rsid w:val="00C020FD"/>
    <w:rsid w:val="00C10DA9"/>
    <w:rsid w:val="00C11610"/>
    <w:rsid w:val="00C22688"/>
    <w:rsid w:val="00C25C94"/>
    <w:rsid w:val="00C36479"/>
    <w:rsid w:val="00C43840"/>
    <w:rsid w:val="00C44884"/>
    <w:rsid w:val="00C52F6A"/>
    <w:rsid w:val="00C55301"/>
    <w:rsid w:val="00C57586"/>
    <w:rsid w:val="00C647D8"/>
    <w:rsid w:val="00C65C95"/>
    <w:rsid w:val="00C70F06"/>
    <w:rsid w:val="00C75A44"/>
    <w:rsid w:val="00C778B0"/>
    <w:rsid w:val="00C813C2"/>
    <w:rsid w:val="00C81947"/>
    <w:rsid w:val="00C83D4D"/>
    <w:rsid w:val="00C901EA"/>
    <w:rsid w:val="00C958EE"/>
    <w:rsid w:val="00C96156"/>
    <w:rsid w:val="00C9780B"/>
    <w:rsid w:val="00C97AC6"/>
    <w:rsid w:val="00CB4E26"/>
    <w:rsid w:val="00CC1220"/>
    <w:rsid w:val="00CC3EF6"/>
    <w:rsid w:val="00CD1234"/>
    <w:rsid w:val="00CD7BF6"/>
    <w:rsid w:val="00CE0346"/>
    <w:rsid w:val="00CE55DA"/>
    <w:rsid w:val="00CF49EF"/>
    <w:rsid w:val="00D02E5B"/>
    <w:rsid w:val="00D0481B"/>
    <w:rsid w:val="00D11180"/>
    <w:rsid w:val="00D20792"/>
    <w:rsid w:val="00D317A5"/>
    <w:rsid w:val="00D40BFA"/>
    <w:rsid w:val="00D4795C"/>
    <w:rsid w:val="00D533F2"/>
    <w:rsid w:val="00D66951"/>
    <w:rsid w:val="00D72419"/>
    <w:rsid w:val="00D72ECB"/>
    <w:rsid w:val="00D759C4"/>
    <w:rsid w:val="00D80DBD"/>
    <w:rsid w:val="00D81296"/>
    <w:rsid w:val="00D83DC7"/>
    <w:rsid w:val="00D84AA7"/>
    <w:rsid w:val="00D84BB4"/>
    <w:rsid w:val="00D877F5"/>
    <w:rsid w:val="00D87B2B"/>
    <w:rsid w:val="00DA73BC"/>
    <w:rsid w:val="00DC1EBB"/>
    <w:rsid w:val="00DC2652"/>
    <w:rsid w:val="00DC2A97"/>
    <w:rsid w:val="00DC3CFD"/>
    <w:rsid w:val="00DC4E10"/>
    <w:rsid w:val="00DC73CE"/>
    <w:rsid w:val="00DD29C3"/>
    <w:rsid w:val="00DD480B"/>
    <w:rsid w:val="00DD56D8"/>
    <w:rsid w:val="00DE2B5F"/>
    <w:rsid w:val="00DE7545"/>
    <w:rsid w:val="00DF109C"/>
    <w:rsid w:val="00DF6986"/>
    <w:rsid w:val="00E20CF1"/>
    <w:rsid w:val="00E24554"/>
    <w:rsid w:val="00E42D00"/>
    <w:rsid w:val="00E42D5F"/>
    <w:rsid w:val="00E434E8"/>
    <w:rsid w:val="00E46FCD"/>
    <w:rsid w:val="00E523DD"/>
    <w:rsid w:val="00E53AE2"/>
    <w:rsid w:val="00E54028"/>
    <w:rsid w:val="00E5508C"/>
    <w:rsid w:val="00E606DB"/>
    <w:rsid w:val="00E64832"/>
    <w:rsid w:val="00E65AF4"/>
    <w:rsid w:val="00E6706E"/>
    <w:rsid w:val="00E7501F"/>
    <w:rsid w:val="00E770F7"/>
    <w:rsid w:val="00E80381"/>
    <w:rsid w:val="00E90893"/>
    <w:rsid w:val="00E92086"/>
    <w:rsid w:val="00EA4BCB"/>
    <w:rsid w:val="00EB509D"/>
    <w:rsid w:val="00EC213F"/>
    <w:rsid w:val="00EC2409"/>
    <w:rsid w:val="00ED1C2D"/>
    <w:rsid w:val="00ED1FAD"/>
    <w:rsid w:val="00ED4F9B"/>
    <w:rsid w:val="00ED50B1"/>
    <w:rsid w:val="00EE6063"/>
    <w:rsid w:val="00EF0DC2"/>
    <w:rsid w:val="00EF3F3A"/>
    <w:rsid w:val="00EF65AE"/>
    <w:rsid w:val="00EF6DBE"/>
    <w:rsid w:val="00F030C3"/>
    <w:rsid w:val="00F03272"/>
    <w:rsid w:val="00F05267"/>
    <w:rsid w:val="00F200D1"/>
    <w:rsid w:val="00F27146"/>
    <w:rsid w:val="00F317E7"/>
    <w:rsid w:val="00F3279E"/>
    <w:rsid w:val="00F36853"/>
    <w:rsid w:val="00F4004D"/>
    <w:rsid w:val="00F41843"/>
    <w:rsid w:val="00F47467"/>
    <w:rsid w:val="00F47F4A"/>
    <w:rsid w:val="00F47FC6"/>
    <w:rsid w:val="00F554E2"/>
    <w:rsid w:val="00F606BA"/>
    <w:rsid w:val="00F66A59"/>
    <w:rsid w:val="00F70DE7"/>
    <w:rsid w:val="00F900B0"/>
    <w:rsid w:val="00F94C99"/>
    <w:rsid w:val="00F95B35"/>
    <w:rsid w:val="00F979C4"/>
    <w:rsid w:val="00FA3930"/>
    <w:rsid w:val="00FA5B83"/>
    <w:rsid w:val="00FB009C"/>
    <w:rsid w:val="00FB2A15"/>
    <w:rsid w:val="00FB41E5"/>
    <w:rsid w:val="00FB5572"/>
    <w:rsid w:val="00FB655A"/>
    <w:rsid w:val="00FC51B6"/>
    <w:rsid w:val="00FE30F1"/>
    <w:rsid w:val="00FE5D24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32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6483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5E"/>
  </w:style>
  <w:style w:type="paragraph" w:styleId="Footer">
    <w:name w:val="footer"/>
    <w:basedOn w:val="Normal"/>
    <w:link w:val="FooterChar"/>
    <w:uiPriority w:val="99"/>
    <w:unhideWhenUsed/>
    <w:rsid w:val="0067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5E"/>
  </w:style>
  <w:style w:type="character" w:styleId="Hyperlink">
    <w:name w:val="Hyperlink"/>
    <w:basedOn w:val="DefaultParagraphFont"/>
    <w:uiPriority w:val="99"/>
    <w:unhideWhenUsed/>
    <w:rsid w:val="008B16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67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A62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F2693"/>
    <w:pPr>
      <w:spacing w:after="0" w:line="240" w:lineRule="auto"/>
    </w:pPr>
    <w:rPr>
      <w:rFonts w:ascii="Comic Sans MS" w:eastAsiaTheme="minorHAnsi" w:hAnsi="Comic Sans MS" w:cs="Times New Roman"/>
      <w:color w:val="0000FF"/>
    </w:rPr>
  </w:style>
  <w:style w:type="character" w:customStyle="1" w:styleId="PlainTextChar">
    <w:name w:val="Plain Text Char"/>
    <w:basedOn w:val="DefaultParagraphFont"/>
    <w:link w:val="PlainText"/>
    <w:uiPriority w:val="99"/>
    <w:rsid w:val="005F2693"/>
    <w:rPr>
      <w:rFonts w:ascii="Comic Sans MS" w:eastAsiaTheme="minorHAnsi" w:hAnsi="Comic Sans MS" w:cs="Times New Roman"/>
      <w:color w:val="0000FF"/>
    </w:rPr>
  </w:style>
  <w:style w:type="table" w:styleId="TableGrid">
    <w:name w:val="Table Grid"/>
    <w:basedOn w:val="TableNormal"/>
    <w:uiPriority w:val="59"/>
    <w:rsid w:val="004F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E2DA4"/>
    <w:rPr>
      <w:b/>
      <w:bCs/>
      <w:i w:val="0"/>
      <w:iCs w:val="0"/>
    </w:rPr>
  </w:style>
  <w:style w:type="character" w:customStyle="1" w:styleId="st">
    <w:name w:val="st"/>
    <w:basedOn w:val="DefaultParagraphFont"/>
    <w:rsid w:val="00AE2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32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E64832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5E"/>
  </w:style>
  <w:style w:type="paragraph" w:styleId="Footer">
    <w:name w:val="footer"/>
    <w:basedOn w:val="Normal"/>
    <w:link w:val="FooterChar"/>
    <w:uiPriority w:val="99"/>
    <w:unhideWhenUsed/>
    <w:rsid w:val="00675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5E"/>
  </w:style>
  <w:style w:type="character" w:styleId="Hyperlink">
    <w:name w:val="Hyperlink"/>
    <w:basedOn w:val="DefaultParagraphFont"/>
    <w:uiPriority w:val="99"/>
    <w:unhideWhenUsed/>
    <w:rsid w:val="008B16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67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1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A62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F2693"/>
    <w:pPr>
      <w:spacing w:after="0" w:line="240" w:lineRule="auto"/>
    </w:pPr>
    <w:rPr>
      <w:rFonts w:ascii="Comic Sans MS" w:eastAsiaTheme="minorHAnsi" w:hAnsi="Comic Sans MS" w:cs="Times New Roman"/>
      <w:color w:val="0000FF"/>
    </w:rPr>
  </w:style>
  <w:style w:type="character" w:customStyle="1" w:styleId="PlainTextChar">
    <w:name w:val="Plain Text Char"/>
    <w:basedOn w:val="DefaultParagraphFont"/>
    <w:link w:val="PlainText"/>
    <w:uiPriority w:val="99"/>
    <w:rsid w:val="005F2693"/>
    <w:rPr>
      <w:rFonts w:ascii="Comic Sans MS" w:eastAsiaTheme="minorHAnsi" w:hAnsi="Comic Sans MS" w:cs="Times New Roman"/>
      <w:color w:val="0000FF"/>
    </w:rPr>
  </w:style>
  <w:style w:type="table" w:styleId="TableGrid">
    <w:name w:val="Table Grid"/>
    <w:basedOn w:val="TableNormal"/>
    <w:uiPriority w:val="59"/>
    <w:rsid w:val="004F7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E2DA4"/>
    <w:rPr>
      <w:b/>
      <w:bCs/>
      <w:i w:val="0"/>
      <w:iCs w:val="0"/>
    </w:rPr>
  </w:style>
  <w:style w:type="character" w:customStyle="1" w:styleId="st">
    <w:name w:val="st"/>
    <w:basedOn w:val="DefaultParagraphFont"/>
    <w:rsid w:val="00AE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728">
          <w:marLeft w:val="0"/>
          <w:marRight w:val="0"/>
          <w:marTop w:val="132"/>
          <w:marBottom w:val="132"/>
          <w:divBdr>
            <w:top w:val="single" w:sz="4" w:space="0" w:color="9B9A7A"/>
            <w:left w:val="single" w:sz="4" w:space="0" w:color="9B9A7A"/>
            <w:bottom w:val="single" w:sz="4" w:space="0" w:color="9B9A7A"/>
            <w:right w:val="single" w:sz="4" w:space="0" w:color="9B9A7A"/>
          </w:divBdr>
          <w:divsChild>
            <w:div w:id="18486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9379-D510-48F6-AC58-F8DD5A92E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 Guidance on Non-affiliated Institutional Review Board (IRB) Members</vt:lpstr>
    </vt:vector>
  </TitlesOfParts>
  <Company>DVA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 Guidance on Non-affiliated Institutional Review Board (IRB) Members</dc:title>
  <dc:subject>ORD Guidance on Non-affiliated Institutional Review Board (IRB) Members</dc:subject>
  <dc:creator>vhacocucchb</dc:creator>
  <cp:keywords>ORD Guidance on Non-affiliated Institutional Review Board (IRB) Members</cp:keywords>
  <cp:lastModifiedBy>Department of Veterans Affairs</cp:lastModifiedBy>
  <cp:revision>3</cp:revision>
  <cp:lastPrinted>2015-01-13T14:03:00Z</cp:lastPrinted>
  <dcterms:created xsi:type="dcterms:W3CDTF">2015-04-20T17:09:00Z</dcterms:created>
  <dcterms:modified xsi:type="dcterms:W3CDTF">2015-04-20T17:10:00Z</dcterms:modified>
</cp:coreProperties>
</file>